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10DB" w:rsidRDefault="007910DB" w:rsidP="007910DB">
      <w:pPr>
        <w:jc w:val="center"/>
        <w:rPr>
          <w:rFonts w:asciiTheme="minorEastAsia" w:hAnsiTheme="minorEastAsia"/>
          <w:b/>
          <w:sz w:val="24"/>
        </w:rPr>
      </w:pPr>
      <w:r w:rsidRPr="00595072">
        <w:rPr>
          <w:rFonts w:asciiTheme="minorEastAsia" w:hAnsiTheme="minorEastAsia" w:hint="eastAsia"/>
          <w:b/>
          <w:sz w:val="24"/>
        </w:rPr>
        <w:t>要求及参数</w:t>
      </w:r>
    </w:p>
    <w:p w:rsidR="007910DB" w:rsidRDefault="007910DB" w:rsidP="00595072">
      <w:pPr>
        <w:rPr>
          <w:rFonts w:asciiTheme="minorEastAsia" w:hAnsiTheme="minorEastAsia"/>
          <w:b/>
          <w:sz w:val="24"/>
        </w:rPr>
      </w:pPr>
    </w:p>
    <w:p w:rsidR="00595072" w:rsidRPr="00595072" w:rsidRDefault="00336397" w:rsidP="00595072">
      <w:pPr>
        <w:rPr>
          <w:rFonts w:asciiTheme="minorEastAsia" w:hAnsiTheme="minorEastAsia"/>
          <w:b/>
          <w:sz w:val="24"/>
        </w:rPr>
      </w:pPr>
      <w:r>
        <w:rPr>
          <w:rFonts w:asciiTheme="minorEastAsia" w:hAnsiTheme="minorEastAsia" w:hint="eastAsia"/>
          <w:b/>
          <w:sz w:val="24"/>
        </w:rPr>
        <w:t>1</w:t>
      </w:r>
      <w:r w:rsidR="00595072" w:rsidRPr="00595072">
        <w:rPr>
          <w:rFonts w:asciiTheme="minorEastAsia" w:hAnsiTheme="minorEastAsia" w:hint="eastAsia"/>
          <w:b/>
          <w:sz w:val="24"/>
        </w:rPr>
        <w:t>、结核分枝杆菌核酸检测试剂盒（PCR-</w:t>
      </w:r>
      <w:r w:rsidR="00595072">
        <w:rPr>
          <w:rFonts w:asciiTheme="minorEastAsia" w:hAnsiTheme="minorEastAsia" w:hint="eastAsia"/>
          <w:b/>
          <w:sz w:val="24"/>
        </w:rPr>
        <w:t>荧光探针法）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 xml:space="preserve">一、医用耗材用途及范围： 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1、本试剂盒适用于检测痰液样本中的结核杆菌分枝杆菌（TB）DNA。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2、本试剂盒可用于临床中结核分枝杆菌感染的辅助诊断。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二、详细招标参数：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　试剂盒名称： 结核分枝杆菌核酸检测试剂盒（PCR-荧光探针法）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2　CFDA注册证： 国械注准 20173400166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3　检测技术平台： 基于荧光定量PCR检测技术，适用于ABI7500荧光PCR仪、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StratageneMx3000P荧光PCR仪。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4　检测样本类型： 痰液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5　样本体积：500 uL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6　96样本处理时间：150min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7　检测灵敏度/检测下限：　1个菌/mL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8批间精密度CV： ≤5%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9批内精密度CV： ≤5%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10 特异性：与鸟分枝杆菌、土地分枝杆菌、施氏分枝杆菌、堪萨斯分枝杆菌、亚洲分枝杆菌、瘰疬分枝杆菌、戈登分枝杆菌、龟脓分枝杆菌、偶然分枝杆菌、草分枝杆菌、巴西诺卡氏菌、 北京棒杆菌、肺炎球菌、嗜肺军团菌、百日咳博德特氏菌、肺炎支原体、EB病毒、呼吸道合胞病毒等样本无交叉反应。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11 反应体系体积：　50 uL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12 ★防污染体系：　UNG酶+dUTP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 xml:space="preserve">13 ★是否有内标：　有全程参与核酸提取和扩增的内标 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14 扩增时间：≤75min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15 ★自动化：可实现全自动化提取操作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16 保质期： 12个月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17包装规格：48人份/盒</w:t>
      </w:r>
    </w:p>
    <w:p w:rsidR="00595072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18 预期用途：适用于检测痰液样本中的结核分枝杆菌（TB）DNA。可用于临床中结核分枝杆菌感染的辅助诊断。</w:t>
      </w:r>
    </w:p>
    <w:p w:rsidR="00D2070B" w:rsidRPr="00595072" w:rsidRDefault="00595072" w:rsidP="00595072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19 检验原理：采用核酸释放剂快速裂解、释放样本中的结核分枝杆菌DNA，利用针对结核分枝杆菌核酸保守区设计的一对特异性引物、一条特异荧光探针，配以PCR反应液等组分，在荧光定量PCR仪上，应用实时荧光定量PCR检测技术，通过荧光信号的变化实现结核杆菌DNA的快速检测。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p w:rsidR="00D2070B" w:rsidRPr="00595072" w:rsidRDefault="00336397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2</w:t>
      </w:r>
      <w:r w:rsidR="00595072" w:rsidRPr="00595072">
        <w:rPr>
          <w:rFonts w:asciiTheme="minorEastAsia" w:hAnsiTheme="minorEastAsia" w:hint="eastAsia"/>
          <w:b/>
          <w:bCs/>
          <w:sz w:val="24"/>
        </w:rPr>
        <w:t>、</w:t>
      </w:r>
      <w:r w:rsidR="0004431F" w:rsidRPr="00595072">
        <w:rPr>
          <w:rFonts w:asciiTheme="minorEastAsia" w:hAnsiTheme="minorEastAsia"/>
          <w:b/>
          <w:bCs/>
          <w:sz w:val="24"/>
        </w:rPr>
        <w:t>抗广谱原肌球蛋白受体激酶（TRK）单克隆抗体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D2070B" w:rsidRPr="00595072" w:rsidRDefault="0004431F">
      <w:pPr>
        <w:numPr>
          <w:ilvl w:val="0"/>
          <w:numId w:val="3"/>
        </w:num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医用耗材用途及范围：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用于检测神经系统方面的病变。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二、详细招标要求：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产品必须取得注册证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p w:rsidR="00D2070B" w:rsidRPr="00595072" w:rsidRDefault="00336397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3</w:t>
      </w:r>
      <w:r w:rsidR="00595072" w:rsidRPr="00595072">
        <w:rPr>
          <w:rFonts w:asciiTheme="minorEastAsia" w:hAnsiTheme="minorEastAsia" w:hint="eastAsia"/>
          <w:b/>
          <w:bCs/>
          <w:sz w:val="24"/>
        </w:rPr>
        <w:t>、</w:t>
      </w:r>
      <w:r w:rsidR="0004431F" w:rsidRPr="00595072">
        <w:rPr>
          <w:rFonts w:asciiTheme="minorEastAsia" w:hAnsiTheme="minorEastAsia"/>
          <w:b/>
          <w:bCs/>
          <w:sz w:val="24"/>
        </w:rPr>
        <w:t>YAP1基因断裂探针试剂（荧光原位杂交法）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一、医用耗材用途及范围：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该试剂盒可用于辅助诊断YAP1融合阳性型幕上室管膜瘤并评估其预后。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lastRenderedPageBreak/>
        <w:t>二、详细招标参数：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在保证质量和服务是前提下，要求可以做到快速检测，实现当天得到检测结果。</w:t>
      </w:r>
    </w:p>
    <w:p w:rsidR="00D2070B" w:rsidRPr="00595072" w:rsidRDefault="0004431F">
      <w:pPr>
        <w:numPr>
          <w:ilvl w:val="0"/>
          <w:numId w:val="6"/>
        </w:num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耗材名称：C11ORF95(11q13）基因断裂探针试剂（荧光原位杂交法）。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2、试剂生产地：国产。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3、产品功能：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(1）试剂技术方法：荧光原位杂交法：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(2）染色结果：试剂盒采用去国际最先进的去重复序列探针制备技术生产，较传统 FISH 探针可实现快速2小时杂交。同时，在保证检测质量的情况下，还可以实现灵活的2-16小时的杂交。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4、产品性能：较传统试剂盒具有更好的灵敏度、特异性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5、规格：试剂盒规格：10人份／盒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 w:hint="eastAsia"/>
          <w:sz w:val="24"/>
        </w:rPr>
        <w:t>6、产品适应症：脑胶质瘤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p w:rsidR="00D2070B" w:rsidRPr="00595072" w:rsidRDefault="00336397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4</w:t>
      </w:r>
      <w:r w:rsidR="00595072" w:rsidRPr="00595072">
        <w:rPr>
          <w:rFonts w:asciiTheme="minorEastAsia" w:hAnsiTheme="minorEastAsia" w:hint="eastAsia"/>
          <w:b/>
          <w:bCs/>
          <w:sz w:val="24"/>
        </w:rPr>
        <w:t>、</w:t>
      </w:r>
      <w:r w:rsidR="0004431F" w:rsidRPr="00595072">
        <w:rPr>
          <w:rFonts w:asciiTheme="minorEastAsia" w:hAnsiTheme="minorEastAsia"/>
          <w:b/>
          <w:bCs/>
          <w:sz w:val="24"/>
        </w:rPr>
        <w:t>EBER检测试剂盒（原位杂交法）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一、医用耗材用途及范围：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 xml:space="preserve"> EBER 用于检测 EB 病毒是否存在。鉴别是否是非肿瘤性疾病：分清是 EBV 的潜伏感染还是感染导致的疾病状态；肿瘤性疾病的鉴别诊断。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二、详细招标要求：</w:t>
      </w:r>
    </w:p>
    <w:p w:rsidR="00D2070B" w:rsidRPr="00595072" w:rsidRDefault="0004431F" w:rsidP="007910DB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产品必须取得注册证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p w:rsidR="00D2070B" w:rsidRPr="00595072" w:rsidRDefault="00336397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5</w:t>
      </w:r>
      <w:r w:rsidR="00595072" w:rsidRPr="00595072">
        <w:rPr>
          <w:rFonts w:asciiTheme="minorEastAsia" w:hAnsiTheme="minorEastAsia" w:hint="eastAsia"/>
          <w:b/>
          <w:bCs/>
          <w:sz w:val="24"/>
        </w:rPr>
        <w:t>、</w:t>
      </w:r>
      <w:r w:rsidR="0004431F" w:rsidRPr="00595072">
        <w:rPr>
          <w:rFonts w:asciiTheme="minorEastAsia" w:hAnsiTheme="minorEastAsia"/>
          <w:b/>
          <w:bCs/>
          <w:sz w:val="24"/>
        </w:rPr>
        <w:t>HLA-B27基因分裂测定试剂盒（PCR-SSP法）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一、医用耗材用途及范围：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1、解决临床痛点，为 SpA 患者早期精准诊断提供重要参考，具有重大社会经济效益。 SpA 平均延迟诊断时间为7.4年，84版纽约标准诊断 SpA 患者均为中晚期，09版 ASAS 中轴型脊柱关节炎分类标准重视 HLA -B27指标，B27＋加2个 SpA 特征即可诊断，敏感性83%,特异性性84%，为早期精准诊断 SpA 提供诊断依据。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2、解决临床痛点，避免误诊漏诊，显著降低误诊率，具有重大社会经济效益。 AS 误诊率高达82%，易误诊为腰椎间盘突出、腰肌劳损、类风湿性关节炎、坐骨神经痛等疾病。仅有炎性腰背痛患者，如检测 HLA -B27阳性，诊断 SpA 可能性从14％迅速提高到59%，如B27阴性，诊断 SpA 可能性则将降至2%, HLA -B27指标为正确识别早期 SpA 患者提供重要参考，避免误诊漏诊，显著降低误诊率。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二、详细招标参数：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1、HLA -B27基因分型，可分7</w:t>
      </w:r>
      <w:r w:rsidR="007910DB">
        <w:rPr>
          <w:rFonts w:asciiTheme="minorEastAsia" w:hAnsiTheme="minorEastAsia"/>
          <w:sz w:val="24"/>
        </w:rPr>
        <w:t>大类基因亚型</w:t>
      </w:r>
      <w:r w:rsidRPr="00595072">
        <w:rPr>
          <w:rFonts w:asciiTheme="minorEastAsia" w:hAnsiTheme="minorEastAsia"/>
          <w:sz w:val="24"/>
        </w:rPr>
        <w:t>；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2、从B27基因亚型水平上，为临床早期精准诊断 SpA 提供重要参考价值（易感基因为 HLA - B *2702/04/05/07，保护基因为 HLA - B *2703/06/09)，避免疾病误诊漏诊，降低误诊率；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3、 HLA -B27基因亚型不同，疾病风险不同。目前研究发现 HLA - B *2705基因亚型葡萄膜炎、指趾炎、髋关节受累风险、疾病严重程度比 HLA - B *2704基因亚型高，对 SpA 疾病风险评估有重要参考价值；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4、 HLA -B27基因亚型不同，疾病治疗方案不同。目前研究发现 HLA - B *2704亚型单用柳氮磺吡啶治疗效果优于单用甲氨蝶呤、甲氨蝶呤和依那西普联合用药方案， HLA - B *2705亚型柳氮磺吡啶与甲氨蝶呤联合用药治疗效果优于单用</w:t>
      </w:r>
      <w:r w:rsidRPr="00595072">
        <w:rPr>
          <w:rFonts w:asciiTheme="minorEastAsia" w:hAnsiTheme="minorEastAsia"/>
          <w:sz w:val="24"/>
        </w:rPr>
        <w:lastRenderedPageBreak/>
        <w:t>甲氨蝶呤、单用柳氮磺吡啶、甲氨蝶呤与依那西普联合用</w:t>
      </w:r>
      <w:bookmarkStart w:id="0" w:name="_GoBack"/>
      <w:bookmarkEnd w:id="0"/>
      <w:r w:rsidRPr="00595072">
        <w:rPr>
          <w:rFonts w:asciiTheme="minorEastAsia" w:hAnsiTheme="minorEastAsia"/>
          <w:sz w:val="24"/>
        </w:rPr>
        <w:t>药方案。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p w:rsidR="00D2070B" w:rsidRPr="00595072" w:rsidRDefault="00336397">
      <w:pPr>
        <w:rPr>
          <w:rFonts w:asciiTheme="minorEastAsia" w:hAnsiTheme="minorEastAsia"/>
          <w:b/>
          <w:bCs/>
          <w:sz w:val="24"/>
        </w:rPr>
      </w:pPr>
      <w:r>
        <w:rPr>
          <w:rFonts w:asciiTheme="minorEastAsia" w:hAnsiTheme="minorEastAsia" w:hint="eastAsia"/>
          <w:b/>
          <w:bCs/>
          <w:sz w:val="24"/>
        </w:rPr>
        <w:t>6</w:t>
      </w:r>
      <w:r w:rsidR="00595072" w:rsidRPr="00595072">
        <w:rPr>
          <w:rFonts w:asciiTheme="minorEastAsia" w:hAnsiTheme="minorEastAsia" w:hint="eastAsia"/>
          <w:b/>
          <w:bCs/>
          <w:sz w:val="24"/>
        </w:rPr>
        <w:t>、</w:t>
      </w:r>
      <w:r w:rsidR="0004431F" w:rsidRPr="00595072">
        <w:rPr>
          <w:rFonts w:asciiTheme="minorEastAsia" w:hAnsiTheme="minorEastAsia"/>
          <w:b/>
          <w:bCs/>
          <w:sz w:val="24"/>
        </w:rPr>
        <w:t>人类ALDH2基因多态性检测试剂盒（PCR-荧光探针法）</w:t>
      </w:r>
      <w:r w:rsidR="00595072" w:rsidRPr="00595072">
        <w:rPr>
          <w:rFonts w:asciiTheme="minorEastAsia" w:hAnsiTheme="minorEastAsia" w:hint="eastAsia"/>
          <w:b/>
          <w:sz w:val="24"/>
        </w:rPr>
        <w:t>要求及参数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一、医用耗材用途及范围：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本试剂盒用于检测人ALDH2基因突变情况，用以指导硝酸甘油个体化用药和酒精代谢能力评估。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二、详细招标参数：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 xml:space="preserve">1、检测方法：荧光定量 PCR 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技术操作简便，耗时少·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实验流程少，不需要配置反应液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2、检测用途：单管体外定性检测 EDTA 抗凝静脉全血样本ALDH2基因1510位点（ G &gt; A ）基因多态性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3、标本类型： EDTA 抗凝静脉全血样本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4、质量控制：检测阳性参考品、阴性参考品、特异性参考品、最低检测线参考品、精密度参考品和干扰物参考品，均合格后生产商出具产品检验合格证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5、阴阳性符合率：阴性和阳性均为100％符合率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6、精密度：批内和批间CVs5%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7、最低检测值：1ng/ ul 浓度的 DNA 样本，对同一份低至1ng/ ul 的样本进行10次重复检测，均能正确分型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8、防污能力：阴性质控不起线：阳性样本加入人工干扰物不影响判读，并具有报告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9、抗干扰能力：阳性样本加入人工干扰物不影响判读：含非目标基因片段质粒 DNA 参考品不能被检出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10、储存条件及有效期：-20℃±5℃避光保存，有效期10个月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11、结果分析：可判读ALDH2不同基因型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12、资质要求：获得 III 类医疗器械注册证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13、检测试剂盒：提供检测试剂盒规格与报价，包括试剂盒单价和单人份单价，并且不同规格的试剂盒单人份报价必须一致。</w:t>
      </w:r>
    </w:p>
    <w:p w:rsidR="00D2070B" w:rsidRPr="00595072" w:rsidRDefault="0004431F">
      <w:pPr>
        <w:rPr>
          <w:rFonts w:asciiTheme="minorEastAsia" w:hAnsiTheme="minorEastAsia"/>
          <w:sz w:val="24"/>
        </w:rPr>
      </w:pPr>
      <w:r w:rsidRPr="00595072">
        <w:rPr>
          <w:rFonts w:asciiTheme="minorEastAsia" w:hAnsiTheme="minorEastAsia"/>
          <w:sz w:val="24"/>
        </w:rPr>
        <w:t>14、适于荧光定量 PCR 仪器：ABI7500荧光定量 PCR 仪、 SLAN 、 Bio - Rad CFX96或 Roche Cobas 480或DA7600</w:t>
      </w:r>
      <w:r w:rsidRPr="00595072">
        <w:rPr>
          <w:rFonts w:asciiTheme="minorEastAsia" w:hAnsiTheme="minorEastAsia" w:hint="eastAsia"/>
          <w:sz w:val="24"/>
        </w:rPr>
        <w:t>等</w:t>
      </w:r>
    </w:p>
    <w:p w:rsidR="00D2070B" w:rsidRPr="00595072" w:rsidRDefault="00D2070B">
      <w:pPr>
        <w:rPr>
          <w:rFonts w:asciiTheme="minorEastAsia" w:hAnsiTheme="minorEastAsia"/>
          <w:sz w:val="24"/>
        </w:rPr>
      </w:pPr>
    </w:p>
    <w:sectPr w:rsidR="00D2070B" w:rsidRPr="00595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6E36A55"/>
    <w:multiLevelType w:val="singleLevel"/>
    <w:tmpl w:val="B6E36A55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FD1A4B1E"/>
    <w:multiLevelType w:val="singleLevel"/>
    <w:tmpl w:val="FD1A4B1E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1AF1136E"/>
    <w:multiLevelType w:val="singleLevel"/>
    <w:tmpl w:val="1AF1136E"/>
    <w:lvl w:ilvl="0">
      <w:start w:val="1"/>
      <w:numFmt w:val="decimal"/>
      <w:suff w:val="nothing"/>
      <w:lvlText w:val="%1．"/>
      <w:lvlJc w:val="left"/>
    </w:lvl>
  </w:abstractNum>
  <w:abstractNum w:abstractNumId="3" w15:restartNumberingAfterBreak="0">
    <w:nsid w:val="241577FC"/>
    <w:multiLevelType w:val="singleLevel"/>
    <w:tmpl w:val="241577FC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24CD6376"/>
    <w:multiLevelType w:val="singleLevel"/>
    <w:tmpl w:val="24CD637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5" w15:restartNumberingAfterBreak="0">
    <w:nsid w:val="39C5A9FA"/>
    <w:multiLevelType w:val="singleLevel"/>
    <w:tmpl w:val="39C5A9F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 w15:restartNumberingAfterBreak="0">
    <w:nsid w:val="4323399E"/>
    <w:multiLevelType w:val="singleLevel"/>
    <w:tmpl w:val="4323399E"/>
    <w:lvl w:ilvl="0">
      <w:start w:val="1"/>
      <w:numFmt w:val="decimal"/>
      <w:suff w:val="nothing"/>
      <w:lvlText w:val="%1、"/>
      <w:lvlJc w:val="left"/>
    </w:lvl>
  </w:abstractNum>
  <w:abstractNum w:abstractNumId="7" w15:restartNumberingAfterBreak="0">
    <w:nsid w:val="61C69124"/>
    <w:multiLevelType w:val="singleLevel"/>
    <w:tmpl w:val="61C69124"/>
    <w:lvl w:ilvl="0">
      <w:start w:val="1"/>
      <w:numFmt w:val="decimal"/>
      <w:suff w:val="nothing"/>
      <w:lvlText w:val="%1、"/>
      <w:lvlJc w:val="left"/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Y2Y2IxNjk0Nzc5NDM1NDAxMTIxMjM0ZDcwMTY2MWMifQ=="/>
  </w:docVars>
  <w:rsids>
    <w:rsidRoot w:val="00D2070B"/>
    <w:rsid w:val="0004431F"/>
    <w:rsid w:val="00336397"/>
    <w:rsid w:val="00595072"/>
    <w:rsid w:val="007910DB"/>
    <w:rsid w:val="00D2070B"/>
    <w:rsid w:val="00E076A9"/>
    <w:rsid w:val="05105B19"/>
    <w:rsid w:val="09B47734"/>
    <w:rsid w:val="1AE62EFF"/>
    <w:rsid w:val="1D6E3E6F"/>
    <w:rsid w:val="2B0D56C0"/>
    <w:rsid w:val="42492991"/>
    <w:rsid w:val="477D7117"/>
    <w:rsid w:val="49CD7ADC"/>
    <w:rsid w:val="4B3317B5"/>
    <w:rsid w:val="5CFB1F61"/>
    <w:rsid w:val="67295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51CA18"/>
  <w15:docId w15:val="{A75B5D50-4076-494D-948C-537CD0DB0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2023-06-26T09:29:00Z</dcterms:created>
  <dcterms:modified xsi:type="dcterms:W3CDTF">2023-06-26T09:29:00Z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9E5E5E04DC364AB4A5D73C986E9B0BF9</vt:lpwstr>
  </property>
</Properties>
</file>