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22" w:rsidRDefault="007F6FD6" w:rsidP="0038352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 w:rsidR="00383522" w:rsidRPr="00383522">
        <w:rPr>
          <w:rFonts w:ascii="仿宋" w:eastAsia="仿宋" w:hAnsi="仿宋"/>
          <w:sz w:val="24"/>
          <w:szCs w:val="24"/>
        </w:rPr>
        <w:t>、呼吸道病毒核酸检测试剂盒（荧光PCR法）</w:t>
      </w:r>
      <w:r w:rsidR="00383522">
        <w:rPr>
          <w:rFonts w:ascii="仿宋" w:eastAsia="仿宋" w:hAnsi="仿宋" w:hint="eastAsia"/>
          <w:sz w:val="24"/>
          <w:szCs w:val="24"/>
        </w:rPr>
        <w:t>参数：</w:t>
      </w:r>
    </w:p>
    <w:p w:rsidR="001022FD" w:rsidRPr="001022FD" w:rsidRDefault="00C73687" w:rsidP="001022F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1022FD">
        <w:rPr>
          <w:rFonts w:ascii="仿宋" w:eastAsia="仿宋" w:hAnsi="仿宋" w:hint="eastAsia"/>
          <w:sz w:val="24"/>
          <w:szCs w:val="24"/>
        </w:rPr>
        <w:t>用于</w:t>
      </w:r>
      <w:r w:rsidR="001022FD" w:rsidRPr="001022FD">
        <w:rPr>
          <w:rFonts w:ascii="仿宋" w:eastAsia="仿宋" w:hAnsi="仿宋" w:hint="eastAsia"/>
          <w:sz w:val="24"/>
          <w:szCs w:val="24"/>
        </w:rPr>
        <w:t>呼吸道病原体的早期</w:t>
      </w:r>
      <w:r w:rsidR="001022FD" w:rsidRPr="001022FD">
        <w:rPr>
          <w:rFonts w:ascii="仿宋" w:eastAsia="仿宋" w:hAnsi="仿宋"/>
          <w:sz w:val="24"/>
          <w:szCs w:val="24"/>
        </w:rPr>
        <w:t xml:space="preserve"> 、快速、特异检测。样本类型：</w:t>
      </w:r>
      <w:r w:rsidR="001022FD" w:rsidRPr="001022FD">
        <w:rPr>
          <w:rFonts w:ascii="仿宋" w:eastAsia="仿宋" w:hAnsi="仿宋" w:hint="eastAsia"/>
          <w:sz w:val="24"/>
          <w:szCs w:val="24"/>
        </w:rPr>
        <w:t>人口咽拭子、痰液、肺泡灌洗液</w:t>
      </w:r>
      <w:r w:rsidR="001022FD">
        <w:rPr>
          <w:rFonts w:ascii="仿宋" w:eastAsia="仿宋" w:hAnsi="仿宋" w:hint="eastAsia"/>
          <w:sz w:val="24"/>
          <w:szCs w:val="24"/>
        </w:rPr>
        <w:t>。具备</w:t>
      </w:r>
      <w:r w:rsidR="001022FD">
        <w:rPr>
          <w:rFonts w:ascii="仿宋" w:eastAsia="仿宋" w:hAnsi="仿宋"/>
          <w:sz w:val="24"/>
          <w:szCs w:val="24"/>
        </w:rPr>
        <w:t>NMP</w:t>
      </w:r>
      <w:r w:rsidR="001022FD" w:rsidRPr="001022FD">
        <w:rPr>
          <w:rFonts w:ascii="仿宋" w:eastAsia="仿宋" w:hAnsi="仿宋"/>
          <w:sz w:val="24"/>
          <w:szCs w:val="24"/>
        </w:rPr>
        <w:t>三类</w:t>
      </w:r>
      <w:r w:rsidR="001022FD">
        <w:rPr>
          <w:rFonts w:ascii="仿宋" w:eastAsia="仿宋" w:hAnsi="仿宋" w:hint="eastAsia"/>
          <w:sz w:val="24"/>
          <w:szCs w:val="24"/>
        </w:rPr>
        <w:t>注册</w:t>
      </w:r>
      <w:r w:rsidR="001022FD" w:rsidRPr="001022FD">
        <w:rPr>
          <w:rFonts w:ascii="仿宋" w:eastAsia="仿宋" w:hAnsi="仿宋"/>
          <w:sz w:val="24"/>
          <w:szCs w:val="24"/>
        </w:rPr>
        <w:t>证。产品适应症：本品用于体外定性检测人口咽拭子样本中甲型流感病毒、乙型流感病毒、呼吸道合胞病毒 (RSV)、呼吸道腺病毒（Radv)、人偏肺病毒（HMPV)、副流感病毒I/I/III型（PIVI/II/III)的核酸。检测结果用于临床对呼吸道疾病的辅助诊断，不能单独作为确诊或排除病例的依据。</w:t>
      </w:r>
    </w:p>
    <w:p w:rsidR="00383522" w:rsidRPr="00C73687" w:rsidRDefault="00383522" w:rsidP="00383522">
      <w:pPr>
        <w:rPr>
          <w:rFonts w:ascii="仿宋" w:eastAsia="仿宋" w:hAnsi="仿宋"/>
          <w:sz w:val="24"/>
          <w:szCs w:val="24"/>
        </w:rPr>
      </w:pPr>
    </w:p>
    <w:p w:rsidR="00383522" w:rsidRPr="00C73687" w:rsidRDefault="007F6FD6" w:rsidP="0038352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383522" w:rsidRPr="00C73687">
        <w:rPr>
          <w:rFonts w:ascii="仿宋" w:eastAsia="仿宋" w:hAnsi="仿宋"/>
          <w:sz w:val="24"/>
          <w:szCs w:val="24"/>
        </w:rPr>
        <w:t>、MYB/NFIB融合基因T(6:9)探针试剂（荧光原位杂交法）</w:t>
      </w:r>
      <w:r w:rsidR="00383522" w:rsidRPr="00C73687">
        <w:rPr>
          <w:rFonts w:ascii="仿宋" w:eastAsia="仿宋" w:hAnsi="仿宋" w:hint="eastAsia"/>
          <w:sz w:val="24"/>
          <w:szCs w:val="24"/>
        </w:rPr>
        <w:t>参数：</w:t>
      </w:r>
    </w:p>
    <w:p w:rsidR="00964499" w:rsidRPr="00C73687" w:rsidRDefault="00C73687" w:rsidP="0085394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964499" w:rsidRPr="00C73687">
        <w:rPr>
          <w:rFonts w:ascii="仿宋" w:eastAsia="仿宋" w:hAnsi="仿宋"/>
          <w:sz w:val="24"/>
          <w:szCs w:val="24"/>
        </w:rPr>
        <w:t>用于检测MYB基因和NFIB基因的融合情况，辅助诊断腺样囊性癌。快速检测，</w:t>
      </w:r>
      <w:r w:rsidR="00964499" w:rsidRPr="00C73687">
        <w:rPr>
          <w:rFonts w:ascii="仿宋" w:eastAsia="仿宋" w:hAnsi="仿宋" w:hint="eastAsia"/>
          <w:sz w:val="24"/>
          <w:szCs w:val="24"/>
        </w:rPr>
        <w:t>可</w:t>
      </w:r>
      <w:r w:rsidR="002411F5" w:rsidRPr="00C73687">
        <w:rPr>
          <w:rFonts w:ascii="仿宋" w:eastAsia="仿宋" w:hAnsi="仿宋"/>
          <w:sz w:val="24"/>
          <w:szCs w:val="24"/>
        </w:rPr>
        <w:t>当天得</w:t>
      </w:r>
      <w:r w:rsidR="002411F5" w:rsidRPr="00C73687">
        <w:rPr>
          <w:rFonts w:ascii="仿宋" w:eastAsia="仿宋" w:hAnsi="仿宋" w:hint="eastAsia"/>
          <w:sz w:val="24"/>
          <w:szCs w:val="24"/>
        </w:rPr>
        <w:t>出</w:t>
      </w:r>
      <w:r w:rsidR="00964499" w:rsidRPr="00C73687">
        <w:rPr>
          <w:rFonts w:ascii="仿宋" w:eastAsia="仿宋" w:hAnsi="仿宋"/>
          <w:sz w:val="24"/>
          <w:szCs w:val="24"/>
        </w:rPr>
        <w:t>检测结果。</w:t>
      </w:r>
      <w:r w:rsidR="00C46B00">
        <w:rPr>
          <w:rFonts w:ascii="仿宋" w:eastAsia="仿宋" w:hAnsi="仿宋" w:hint="eastAsia"/>
          <w:sz w:val="24"/>
          <w:szCs w:val="24"/>
        </w:rPr>
        <w:t>产品为</w:t>
      </w:r>
      <w:r w:rsidR="00964499" w:rsidRPr="00C73687">
        <w:rPr>
          <w:rFonts w:ascii="仿宋" w:eastAsia="仿宋" w:hAnsi="仿宋"/>
          <w:sz w:val="24"/>
          <w:szCs w:val="24"/>
        </w:rPr>
        <w:t>去重复序列探制备技术生产，可</w:t>
      </w:r>
      <w:r w:rsidR="00853940" w:rsidRPr="00C73687">
        <w:rPr>
          <w:rFonts w:ascii="仿宋" w:eastAsia="仿宋" w:hAnsi="仿宋" w:hint="eastAsia"/>
          <w:sz w:val="24"/>
          <w:szCs w:val="24"/>
        </w:rPr>
        <w:t>实现</w:t>
      </w:r>
      <w:r w:rsidR="00964499" w:rsidRPr="00C73687">
        <w:rPr>
          <w:rFonts w:ascii="仿宋" w:eastAsia="仿宋" w:hAnsi="仿宋"/>
          <w:sz w:val="24"/>
          <w:szCs w:val="24"/>
        </w:rPr>
        <w:t>2-16小时的杂交</w:t>
      </w:r>
      <w:r w:rsidR="00853940" w:rsidRPr="00C73687">
        <w:rPr>
          <w:rFonts w:ascii="仿宋" w:eastAsia="仿宋" w:hAnsi="仿宋" w:hint="eastAsia"/>
          <w:sz w:val="24"/>
          <w:szCs w:val="24"/>
        </w:rPr>
        <w:t>。</w:t>
      </w:r>
    </w:p>
    <w:p w:rsidR="00383522" w:rsidRPr="00C73687" w:rsidRDefault="00383522" w:rsidP="00383522">
      <w:pPr>
        <w:rPr>
          <w:rFonts w:ascii="仿宋" w:eastAsia="仿宋" w:hAnsi="仿宋"/>
          <w:sz w:val="24"/>
          <w:szCs w:val="24"/>
        </w:rPr>
      </w:pPr>
    </w:p>
    <w:p w:rsidR="00383522" w:rsidRDefault="007F6FD6" w:rsidP="0038352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383522" w:rsidRPr="00C73687">
        <w:rPr>
          <w:rFonts w:ascii="仿宋" w:eastAsia="仿宋" w:hAnsi="仿宋"/>
          <w:sz w:val="24"/>
          <w:szCs w:val="24"/>
        </w:rPr>
        <w:t>、POLE基因突变检测（荧光PCR-毛细管电泳法）</w:t>
      </w:r>
      <w:r w:rsidR="00383522" w:rsidRPr="00C73687">
        <w:rPr>
          <w:rFonts w:ascii="仿宋" w:eastAsia="仿宋" w:hAnsi="仿宋" w:hint="eastAsia"/>
          <w:sz w:val="24"/>
          <w:szCs w:val="24"/>
        </w:rPr>
        <w:t>参数：</w:t>
      </w:r>
    </w:p>
    <w:p w:rsidR="00CD5A33" w:rsidRPr="00CD5A33" w:rsidRDefault="00992B48" w:rsidP="00CD5A3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A73F98">
        <w:rPr>
          <w:rFonts w:ascii="仿宋" w:eastAsia="仿宋" w:hAnsi="仿宋" w:hint="eastAsia"/>
          <w:sz w:val="24"/>
          <w:szCs w:val="24"/>
        </w:rPr>
        <w:t>用于辅助诊断</w:t>
      </w:r>
      <w:r w:rsidR="00A73F98" w:rsidRPr="00CD5A33">
        <w:rPr>
          <w:rFonts w:ascii="仿宋" w:eastAsia="仿宋" w:hAnsi="仿宋"/>
          <w:sz w:val="24"/>
          <w:szCs w:val="24"/>
        </w:rPr>
        <w:t>结直肠癌、子宫内膜癌等所有实体瘤</w:t>
      </w:r>
      <w:r w:rsidR="00CD5A33" w:rsidRPr="00CD5A33">
        <w:rPr>
          <w:rFonts w:ascii="仿宋" w:eastAsia="仿宋" w:hAnsi="仿宋"/>
          <w:sz w:val="24"/>
          <w:szCs w:val="24"/>
        </w:rPr>
        <w:t>。-20±5℃避光干燥保存；有效期12个月。具有医疗器械</w:t>
      </w:r>
      <w:r w:rsidR="001622A3">
        <w:rPr>
          <w:rFonts w:ascii="仿宋" w:eastAsia="仿宋" w:hAnsi="仿宋" w:hint="eastAsia"/>
          <w:sz w:val="24"/>
          <w:szCs w:val="24"/>
        </w:rPr>
        <w:t>注册证（</w:t>
      </w:r>
      <w:r w:rsidR="00CD5A33" w:rsidRPr="00CD5A33">
        <w:rPr>
          <w:rFonts w:ascii="仿宋" w:eastAsia="仿宋" w:hAnsi="仿宋"/>
          <w:sz w:val="24"/>
          <w:szCs w:val="24"/>
        </w:rPr>
        <w:t>备案证</w:t>
      </w:r>
      <w:r w:rsidR="001622A3">
        <w:rPr>
          <w:rFonts w:ascii="仿宋" w:eastAsia="仿宋" w:hAnsi="仿宋" w:hint="eastAsia"/>
          <w:sz w:val="24"/>
          <w:szCs w:val="24"/>
        </w:rPr>
        <w:t>）；</w:t>
      </w:r>
      <w:r w:rsidR="00CD5A33" w:rsidRPr="00CD5A33">
        <w:rPr>
          <w:rFonts w:ascii="仿宋" w:eastAsia="仿宋" w:hAnsi="仿宋"/>
          <w:sz w:val="24"/>
          <w:szCs w:val="24"/>
        </w:rPr>
        <w:t>包含11个公认的热点突变；具有UDG防污染系统；具有对照位点：具有软件分析系统。产品适应症：结直肠癌、子宫内膜癌等所有实体瘤。</w:t>
      </w:r>
      <w:r w:rsidR="001622A3">
        <w:rPr>
          <w:rFonts w:ascii="仿宋" w:eastAsia="仿宋" w:hAnsi="仿宋" w:hint="eastAsia"/>
          <w:sz w:val="24"/>
          <w:szCs w:val="24"/>
        </w:rPr>
        <w:t>需</w:t>
      </w:r>
      <w:r w:rsidR="00CD5A33" w:rsidRPr="00CD5A33">
        <w:rPr>
          <w:rFonts w:ascii="仿宋" w:eastAsia="仿宋" w:hAnsi="仿宋"/>
          <w:sz w:val="24"/>
          <w:szCs w:val="24"/>
        </w:rPr>
        <w:t>适配于赛默飞3500</w:t>
      </w:r>
      <w:r w:rsidR="0018132C">
        <w:rPr>
          <w:rFonts w:ascii="仿宋" w:eastAsia="仿宋" w:hAnsi="仿宋" w:hint="eastAsia"/>
          <w:sz w:val="24"/>
          <w:szCs w:val="24"/>
        </w:rPr>
        <w:t>Dx</w:t>
      </w:r>
      <w:r w:rsidR="00CD5A33" w:rsidRPr="00CD5A33">
        <w:rPr>
          <w:rFonts w:ascii="仿宋" w:eastAsia="仿宋" w:hAnsi="仿宋"/>
          <w:sz w:val="24"/>
          <w:szCs w:val="24"/>
        </w:rPr>
        <w:t>基因分析仪。可检测不低于1％的突变丰度</w:t>
      </w:r>
      <w:r w:rsidR="001622A3">
        <w:rPr>
          <w:rFonts w:ascii="仿宋" w:eastAsia="仿宋" w:hAnsi="仿宋" w:hint="eastAsia"/>
          <w:sz w:val="24"/>
          <w:szCs w:val="24"/>
        </w:rPr>
        <w:t>。</w:t>
      </w:r>
    </w:p>
    <w:p w:rsidR="007F6FD6" w:rsidRDefault="007F6FD6" w:rsidP="00383522">
      <w:pPr>
        <w:rPr>
          <w:rFonts w:ascii="仿宋" w:eastAsia="仿宋" w:hAnsi="仿宋"/>
          <w:sz w:val="24"/>
          <w:szCs w:val="24"/>
        </w:rPr>
      </w:pPr>
    </w:p>
    <w:p w:rsidR="00383522" w:rsidRPr="00C73687" w:rsidRDefault="007F6FD6" w:rsidP="0038352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383522" w:rsidRPr="00C73687">
        <w:rPr>
          <w:rFonts w:ascii="仿宋" w:eastAsia="仿宋" w:hAnsi="仿宋"/>
          <w:sz w:val="24"/>
          <w:szCs w:val="24"/>
        </w:rPr>
        <w:t>、肿瘤微卫星不稳定基因检测试剂盒（荧光PCR-毛细管电泳法）</w:t>
      </w:r>
      <w:r w:rsidR="00383522" w:rsidRPr="00C73687">
        <w:rPr>
          <w:rFonts w:ascii="仿宋" w:eastAsia="仿宋" w:hAnsi="仿宋" w:hint="eastAsia"/>
          <w:sz w:val="24"/>
          <w:szCs w:val="24"/>
        </w:rPr>
        <w:t>参数：</w:t>
      </w:r>
    </w:p>
    <w:p w:rsidR="0018132C" w:rsidRDefault="00992B48" w:rsidP="001813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所投产品需在省标目录内。</w:t>
      </w:r>
      <w:r w:rsidR="0018132C">
        <w:rPr>
          <w:rFonts w:ascii="仿宋" w:eastAsia="仿宋" w:hAnsi="仿宋" w:hint="eastAsia"/>
          <w:sz w:val="24"/>
          <w:szCs w:val="24"/>
        </w:rPr>
        <w:t>用于</w:t>
      </w:r>
      <w:r w:rsidR="0018132C" w:rsidRPr="0018132C">
        <w:rPr>
          <w:rFonts w:ascii="仿宋" w:eastAsia="仿宋" w:hAnsi="仿宋" w:hint="eastAsia"/>
          <w:sz w:val="24"/>
          <w:szCs w:val="24"/>
        </w:rPr>
        <w:t>辅助诊断错配修复（</w:t>
      </w:r>
      <w:r w:rsidR="0018132C" w:rsidRPr="0018132C">
        <w:rPr>
          <w:rFonts w:ascii="仿宋" w:eastAsia="仿宋" w:hAnsi="仿宋"/>
          <w:sz w:val="24"/>
          <w:szCs w:val="24"/>
        </w:rPr>
        <w:t>MMR）基因突变的实体瘤，为及早发现 DNA 错配修复功能缺陷特征的实体瘤提供依据。辅助诊断林奇综合征、判断预后、预测辅助化疗疗效、预测实体瘤免疫治疗疗效</w:t>
      </w:r>
      <w:r w:rsidR="00A73F98">
        <w:rPr>
          <w:rFonts w:ascii="仿宋" w:eastAsia="仿宋" w:hAnsi="仿宋" w:hint="eastAsia"/>
          <w:sz w:val="24"/>
          <w:szCs w:val="24"/>
        </w:rPr>
        <w:t>。</w:t>
      </w:r>
      <w:r w:rsidR="0018132C" w:rsidRPr="0018132C">
        <w:rPr>
          <w:rFonts w:ascii="仿宋" w:eastAsia="仿宋" w:hAnsi="仿宋"/>
          <w:sz w:val="24"/>
          <w:szCs w:val="24"/>
        </w:rPr>
        <w:t>-20±5℃避光干燥保存；有效期12个月。具</w:t>
      </w:r>
      <w:r>
        <w:rPr>
          <w:rFonts w:ascii="仿宋" w:eastAsia="仿宋" w:hAnsi="仿宋" w:hint="eastAsia"/>
          <w:sz w:val="24"/>
          <w:szCs w:val="24"/>
        </w:rPr>
        <w:t>备</w:t>
      </w:r>
      <w:r w:rsidR="0018132C" w:rsidRPr="0018132C">
        <w:rPr>
          <w:rFonts w:ascii="仿宋" w:eastAsia="仿宋" w:hAnsi="仿宋"/>
          <w:sz w:val="24"/>
          <w:szCs w:val="24"/>
        </w:rPr>
        <w:t>三类医疗器械注册证；可以检测不低于6个的微卫星位点；具有UDG防污染系统；具有对照位点；具有软件分析系统。产品适应症：结直肠癌、胃癌、子宫内膜癌等所有实体瘤。</w:t>
      </w:r>
    </w:p>
    <w:p w:rsidR="007F0639" w:rsidRDefault="007F0639" w:rsidP="0018132C">
      <w:pPr>
        <w:rPr>
          <w:rFonts w:ascii="仿宋" w:eastAsia="仿宋" w:hAnsi="仿宋"/>
          <w:sz w:val="24"/>
          <w:szCs w:val="24"/>
        </w:rPr>
      </w:pPr>
    </w:p>
    <w:p w:rsidR="007F0639" w:rsidRDefault="007F0639" w:rsidP="007F063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Pr="007F0639">
        <w:rPr>
          <w:rFonts w:ascii="仿宋" w:eastAsia="仿宋" w:hAnsi="仿宋" w:hint="eastAsia"/>
          <w:sz w:val="24"/>
          <w:szCs w:val="24"/>
        </w:rPr>
        <w:t>人工乳房植入体</w:t>
      </w:r>
      <w:r>
        <w:rPr>
          <w:rFonts w:ascii="仿宋" w:eastAsia="仿宋" w:hAnsi="仿宋" w:hint="eastAsia"/>
          <w:sz w:val="24"/>
          <w:szCs w:val="24"/>
        </w:rPr>
        <w:t>参数</w:t>
      </w:r>
    </w:p>
    <w:p w:rsidR="002052AB" w:rsidRDefault="006A6865" w:rsidP="0032564D">
      <w:pPr>
        <w:rPr>
          <w:rFonts w:ascii="仿宋" w:eastAsia="仿宋" w:hAnsi="仿宋"/>
          <w:sz w:val="24"/>
          <w:szCs w:val="24"/>
        </w:rPr>
      </w:pPr>
      <w:r w:rsidRPr="006A6865">
        <w:rPr>
          <w:rFonts w:ascii="仿宋" w:eastAsia="仿宋" w:hAnsi="仿宋" w:hint="eastAsia"/>
          <w:sz w:val="24"/>
          <w:szCs w:val="24"/>
        </w:rPr>
        <w:t>所投产品需在省标目录内。用于隆乳和乳房再造。外壳扯断伸长率：≥</w:t>
      </w:r>
      <w:r w:rsidRPr="006A6865">
        <w:rPr>
          <w:rFonts w:ascii="仿宋" w:eastAsia="仿宋" w:hAnsi="仿宋"/>
          <w:sz w:val="24"/>
          <w:szCs w:val="24"/>
        </w:rPr>
        <w:t>450%；外壳伸缩率：≤10%；外壳抗撕强度：≥12N；外壳与底盖连接处牢固度：在伸长率为300％时，历时10秒钟，连接处完好无损；凝胶凝聚力：30分钟时，下垂凝胶长度≤30mm；抗静压性能：静态破裂力≥1600N；凝胶扩散性能：8周后，硅凝胶扩散总量≤0.0024(g/cm2/day)；包装密封完整性：无染色渗透。外壳机械自浸注成型，医用级硅凝胶。形状：毛面自然形；容积：毛面</w:t>
      </w:r>
      <w:r>
        <w:rPr>
          <w:rFonts w:ascii="仿宋" w:eastAsia="仿宋" w:hAnsi="仿宋" w:hint="eastAsia"/>
          <w:sz w:val="24"/>
          <w:szCs w:val="24"/>
        </w:rPr>
        <w:t>自然形</w:t>
      </w:r>
      <w:r w:rsidRPr="006A6865">
        <w:rPr>
          <w:rFonts w:ascii="仿宋" w:eastAsia="仿宋" w:hAnsi="仿宋"/>
          <w:sz w:val="24"/>
          <w:szCs w:val="24"/>
        </w:rPr>
        <w:t>（1</w:t>
      </w:r>
      <w:r>
        <w:rPr>
          <w:rFonts w:ascii="仿宋" w:eastAsia="仿宋" w:hAnsi="仿宋"/>
          <w:sz w:val="24"/>
          <w:szCs w:val="24"/>
        </w:rPr>
        <w:t>2</w:t>
      </w:r>
      <w:r w:rsidRPr="006A6865">
        <w:rPr>
          <w:rFonts w:ascii="仿宋" w:eastAsia="仿宋" w:hAnsi="仿宋"/>
          <w:sz w:val="24"/>
          <w:szCs w:val="24"/>
        </w:rPr>
        <w:t>0cc-</w:t>
      </w:r>
      <w:r>
        <w:rPr>
          <w:rFonts w:ascii="仿宋" w:eastAsia="仿宋" w:hAnsi="仿宋"/>
          <w:sz w:val="24"/>
          <w:szCs w:val="24"/>
        </w:rPr>
        <w:t>615</w:t>
      </w:r>
      <w:r w:rsidRPr="006A6865">
        <w:rPr>
          <w:rFonts w:ascii="仿宋" w:eastAsia="仿宋" w:hAnsi="仿宋"/>
          <w:sz w:val="24"/>
          <w:szCs w:val="24"/>
        </w:rPr>
        <w:t>cc);尺寸：毛面自然形宽度（9.0cm-16.5cm)，高度（8.0cm-13.3cm)，凸度（3.2cm-6.3cm)。</w:t>
      </w:r>
    </w:p>
    <w:p w:rsidR="007F0639" w:rsidRDefault="002052AB" w:rsidP="0032564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招标现场需</w:t>
      </w:r>
      <w:r w:rsidR="0032564D" w:rsidRPr="0032564D">
        <w:rPr>
          <w:rFonts w:ascii="仿宋" w:eastAsia="仿宋" w:hAnsi="仿宋" w:hint="eastAsia"/>
          <w:sz w:val="24"/>
          <w:szCs w:val="24"/>
        </w:rPr>
        <w:t>提供样品</w:t>
      </w:r>
      <w:r>
        <w:rPr>
          <w:rFonts w:ascii="仿宋" w:eastAsia="仿宋" w:hAnsi="仿宋" w:hint="eastAsia"/>
          <w:sz w:val="24"/>
          <w:szCs w:val="24"/>
        </w:rPr>
        <w:t>。</w:t>
      </w:r>
      <w:bookmarkStart w:id="0" w:name="_GoBack"/>
      <w:bookmarkEnd w:id="0"/>
    </w:p>
    <w:p w:rsidR="007F0639" w:rsidRDefault="007F0639" w:rsidP="007F0639">
      <w:pPr>
        <w:rPr>
          <w:rFonts w:ascii="仿宋" w:eastAsia="仿宋" w:hAnsi="仿宋" w:hint="eastAsia"/>
          <w:sz w:val="24"/>
          <w:szCs w:val="24"/>
        </w:rPr>
      </w:pPr>
    </w:p>
    <w:p w:rsidR="007F0639" w:rsidRPr="007F0639" w:rsidRDefault="007F0639" w:rsidP="007F063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、</w:t>
      </w:r>
      <w:r w:rsidRPr="007F0639">
        <w:rPr>
          <w:rFonts w:ascii="仿宋" w:eastAsia="仿宋" w:hAnsi="仿宋" w:hint="eastAsia"/>
          <w:sz w:val="24"/>
          <w:szCs w:val="24"/>
        </w:rPr>
        <w:t>鼻窦药物支架系统</w:t>
      </w:r>
      <w:r>
        <w:rPr>
          <w:rFonts w:ascii="仿宋" w:eastAsia="仿宋" w:hAnsi="仿宋" w:hint="eastAsia"/>
          <w:sz w:val="24"/>
          <w:szCs w:val="24"/>
        </w:rPr>
        <w:t>参数</w:t>
      </w:r>
    </w:p>
    <w:p w:rsidR="007F0639" w:rsidRPr="007F0639" w:rsidRDefault="007F0639" w:rsidP="007F0639">
      <w:pPr>
        <w:rPr>
          <w:rFonts w:ascii="仿宋" w:eastAsia="仿宋" w:hAnsi="仿宋"/>
          <w:sz w:val="24"/>
          <w:szCs w:val="24"/>
        </w:rPr>
      </w:pPr>
      <w:r w:rsidRPr="007F0639">
        <w:rPr>
          <w:rFonts w:ascii="仿宋" w:eastAsia="仿宋" w:hAnsi="仿宋" w:hint="eastAsia"/>
          <w:sz w:val="24"/>
          <w:szCs w:val="24"/>
        </w:rPr>
        <w:t>所投产品需在省标目录内。用于慢性鼻窦炎、鼻息肉患者，实施功能性鼻内窥镜鼻窦手术（</w:t>
      </w:r>
      <w:r w:rsidRPr="007F0639">
        <w:rPr>
          <w:rFonts w:ascii="仿宋" w:eastAsia="仿宋" w:hAnsi="仿宋"/>
          <w:sz w:val="24"/>
          <w:szCs w:val="24"/>
        </w:rPr>
        <w:t>FESS)，植入患者鼻窦窦口位置，定量缓释释放抗炎药物，减少术后水肿、囊泡、黏连、狭窄和窦口闭锁。可自行降解完全或吸收不小于30天。支架骨架支撑力不低于0.06N，支架压缩40％后支撑力不低于0.06N且维持支撑力</w:t>
      </w:r>
      <w:r w:rsidRPr="007F0639">
        <w:rPr>
          <w:rFonts w:ascii="仿宋" w:eastAsia="仿宋" w:hAnsi="仿宋"/>
          <w:sz w:val="24"/>
          <w:szCs w:val="24"/>
        </w:rPr>
        <w:lastRenderedPageBreak/>
        <w:t>14天无衰减；支架明确载药量为652微克以上糠酸莫米松，每天平均释放20微克以上，持续释放不低于30天，药物涂层与粘膜结合后，保持粘膜局部药物浓度不低于60天；型号齐全，可应用于额窦、蝶窦、筛窦、上颌窦及中鼻道。</w:t>
      </w:r>
    </w:p>
    <w:p w:rsidR="007F0639" w:rsidRPr="0018132C" w:rsidRDefault="007F0639" w:rsidP="007F0639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招标现场需</w:t>
      </w:r>
      <w:r w:rsidRPr="007F0639">
        <w:rPr>
          <w:rFonts w:ascii="仿宋" w:eastAsia="仿宋" w:hAnsi="仿宋" w:hint="eastAsia"/>
          <w:sz w:val="24"/>
          <w:szCs w:val="24"/>
        </w:rPr>
        <w:t>提供样品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334C06" w:rsidRPr="00C73687" w:rsidRDefault="00334C06" w:rsidP="0018132C">
      <w:pPr>
        <w:rPr>
          <w:rFonts w:ascii="仿宋" w:eastAsia="仿宋" w:hAnsi="仿宋"/>
          <w:sz w:val="24"/>
          <w:szCs w:val="24"/>
        </w:rPr>
      </w:pPr>
    </w:p>
    <w:sectPr w:rsidR="00334C06" w:rsidRPr="00C7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A6653E"/>
    <w:multiLevelType w:val="singleLevel"/>
    <w:tmpl w:val="8DA6653E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7D"/>
    <w:rsid w:val="001022FD"/>
    <w:rsid w:val="00124388"/>
    <w:rsid w:val="001622A3"/>
    <w:rsid w:val="0018132C"/>
    <w:rsid w:val="001958A7"/>
    <w:rsid w:val="002052AB"/>
    <w:rsid w:val="00214103"/>
    <w:rsid w:val="002411F5"/>
    <w:rsid w:val="0032564D"/>
    <w:rsid w:val="00334C06"/>
    <w:rsid w:val="00383522"/>
    <w:rsid w:val="003B397F"/>
    <w:rsid w:val="00452494"/>
    <w:rsid w:val="004803E7"/>
    <w:rsid w:val="0049693E"/>
    <w:rsid w:val="004B4FCC"/>
    <w:rsid w:val="004E3A48"/>
    <w:rsid w:val="004F2A1C"/>
    <w:rsid w:val="00572FAD"/>
    <w:rsid w:val="0058195F"/>
    <w:rsid w:val="00621921"/>
    <w:rsid w:val="00647F66"/>
    <w:rsid w:val="006A6865"/>
    <w:rsid w:val="007F0639"/>
    <w:rsid w:val="007F6FD6"/>
    <w:rsid w:val="007F78B6"/>
    <w:rsid w:val="00853940"/>
    <w:rsid w:val="00894C33"/>
    <w:rsid w:val="00943E5C"/>
    <w:rsid w:val="00964499"/>
    <w:rsid w:val="00992B48"/>
    <w:rsid w:val="009B0B53"/>
    <w:rsid w:val="00A73F98"/>
    <w:rsid w:val="00B46360"/>
    <w:rsid w:val="00B73B41"/>
    <w:rsid w:val="00C2167D"/>
    <w:rsid w:val="00C46B00"/>
    <w:rsid w:val="00C73687"/>
    <w:rsid w:val="00CD5A33"/>
    <w:rsid w:val="00D14396"/>
    <w:rsid w:val="00D61BDB"/>
    <w:rsid w:val="00DA61FA"/>
    <w:rsid w:val="00E30F51"/>
    <w:rsid w:val="00E61979"/>
    <w:rsid w:val="00F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0660"/>
  <w15:chartTrackingRefBased/>
  <w15:docId w15:val="{033879B6-9930-47A4-A276-F16F071E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FB5263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NormalCharacter">
    <w:name w:val="NormalCharacter"/>
    <w:autoRedefine/>
    <w:qFormat/>
    <w:rsid w:val="00FB5263"/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2024-07-29T07:24:00Z</dcterms:created>
  <dcterms:modified xsi:type="dcterms:W3CDTF">2024-07-29T07:29:00Z</dcterms:modified>
</cp:coreProperties>
</file>