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55" w:rsidRPr="00726255" w:rsidRDefault="00726255" w:rsidP="00726255">
      <w:pPr>
        <w:rPr>
          <w:rFonts w:ascii="宋体" w:eastAsia="宋体" w:hAnsi="宋体"/>
          <w:sz w:val="28"/>
          <w:szCs w:val="28"/>
        </w:rPr>
      </w:pPr>
      <w:r w:rsidRPr="00726255">
        <w:rPr>
          <w:rFonts w:ascii="宋体" w:eastAsia="宋体" w:hAnsi="宋体" w:hint="eastAsia"/>
          <w:sz w:val="28"/>
          <w:szCs w:val="28"/>
        </w:rPr>
        <w:t>1、</w:t>
      </w:r>
      <w:r w:rsidRPr="00726255">
        <w:rPr>
          <w:rFonts w:ascii="宋体" w:eastAsia="宋体" w:hAnsi="宋体"/>
          <w:sz w:val="28"/>
          <w:szCs w:val="28"/>
        </w:rPr>
        <w:t>尿流</w:t>
      </w:r>
      <w:r w:rsidR="00C5186B">
        <w:rPr>
          <w:rFonts w:ascii="宋体" w:eastAsia="宋体" w:hAnsi="宋体" w:hint="eastAsia"/>
          <w:sz w:val="28"/>
          <w:szCs w:val="28"/>
        </w:rPr>
        <w:t>监</w:t>
      </w:r>
      <w:r w:rsidRPr="00726255">
        <w:rPr>
          <w:rFonts w:ascii="宋体" w:eastAsia="宋体" w:hAnsi="宋体"/>
          <w:sz w:val="28"/>
          <w:szCs w:val="28"/>
        </w:rPr>
        <w:t>测导管</w:t>
      </w:r>
      <w:r w:rsidRPr="00726255">
        <w:rPr>
          <w:rFonts w:ascii="宋体" w:eastAsia="宋体" w:hAnsi="宋体" w:hint="eastAsia"/>
          <w:sz w:val="28"/>
          <w:szCs w:val="28"/>
        </w:rPr>
        <w:t>参数</w:t>
      </w:r>
    </w:p>
    <w:p w:rsidR="00726255" w:rsidRPr="00726255" w:rsidRDefault="00726255" w:rsidP="00726255">
      <w:pPr>
        <w:rPr>
          <w:rFonts w:ascii="宋体" w:eastAsia="宋体" w:hAnsi="宋体"/>
          <w:sz w:val="28"/>
          <w:szCs w:val="28"/>
        </w:rPr>
      </w:pPr>
      <w:r w:rsidRPr="00726255">
        <w:rPr>
          <w:rFonts w:ascii="宋体" w:eastAsia="宋体" w:hAnsi="宋体" w:hint="eastAsia"/>
          <w:sz w:val="28"/>
          <w:szCs w:val="28"/>
        </w:rPr>
        <w:t>用于临床导尿，监测危重患者单位时间内尿量（总尿量、日尿量、动态分时尿量、尿流率）等；监测核心体温，自动形成趋势图，指导危重患者的核心温度控制；监测腹内压，反映患者病情严重程度和指导预后判断。</w:t>
      </w:r>
      <w:r w:rsidRPr="00726255">
        <w:rPr>
          <w:rFonts w:ascii="宋体" w:eastAsia="宋体" w:hAnsi="宋体"/>
          <w:sz w:val="28"/>
          <w:szCs w:val="28"/>
        </w:rPr>
        <w:t>组成：尿流监测导尿管由导尿管和引流袋组成。引流袋由引流软管、贮尿袋（含排放开关）、流量观察窗、弹性囊等组成。外观：导尿管、引流软管、弹性囊柔软，流量观察窗透明，贮尿袋刻度清晰。抗拉强度：固定粘接部位能承受10N及以上的牵拉力不脱开、不断裂。密闭性能：导尿管与引流袋牢固连接后，引流软管各部件、贮尿袋应无泄漏。管路性能：尿液能顺畅流入贮尿袋中。抗跌落性能：贮尿袋应无泄漏。无菌</w:t>
      </w:r>
      <w:r w:rsidR="00AA6A07">
        <w:rPr>
          <w:rFonts w:ascii="宋体" w:eastAsia="宋体" w:hAnsi="宋体" w:hint="eastAsia"/>
          <w:sz w:val="28"/>
          <w:szCs w:val="28"/>
        </w:rPr>
        <w:t>包装</w:t>
      </w:r>
      <w:r w:rsidR="00D36088">
        <w:rPr>
          <w:rFonts w:ascii="宋体" w:eastAsia="宋体" w:hAnsi="宋体" w:hint="eastAsia"/>
          <w:sz w:val="28"/>
          <w:szCs w:val="28"/>
        </w:rPr>
        <w:t>，</w:t>
      </w:r>
      <w:r w:rsidRPr="00726255">
        <w:rPr>
          <w:rFonts w:ascii="宋体" w:eastAsia="宋体" w:hAnsi="宋体"/>
          <w:sz w:val="28"/>
          <w:szCs w:val="28"/>
        </w:rPr>
        <w:t>产品若经环氧乙烷气体灭菌，环氧乙烷残留量应不大于10ug/g。</w:t>
      </w:r>
      <w:r w:rsidR="00C5186B">
        <w:rPr>
          <w:rFonts w:ascii="宋体" w:eastAsia="宋体" w:hAnsi="宋体"/>
          <w:sz w:val="28"/>
          <w:szCs w:val="28"/>
        </w:rPr>
        <w:t>配套监测</w:t>
      </w:r>
      <w:r w:rsidR="00C5186B">
        <w:rPr>
          <w:rFonts w:ascii="宋体" w:eastAsia="宋体" w:hAnsi="宋体" w:hint="eastAsia"/>
          <w:sz w:val="28"/>
          <w:szCs w:val="28"/>
        </w:rPr>
        <w:t>工具</w:t>
      </w:r>
      <w:r w:rsidRPr="00726255">
        <w:rPr>
          <w:rFonts w:ascii="宋体" w:eastAsia="宋体" w:hAnsi="宋体"/>
          <w:sz w:val="28"/>
          <w:szCs w:val="28"/>
        </w:rPr>
        <w:t>需</w:t>
      </w:r>
      <w:r w:rsidR="00B42E53">
        <w:rPr>
          <w:rFonts w:ascii="宋体" w:eastAsia="宋体" w:hAnsi="宋体" w:hint="eastAsia"/>
          <w:sz w:val="28"/>
          <w:szCs w:val="28"/>
        </w:rPr>
        <w:t>报价</w:t>
      </w:r>
      <w:r w:rsidRPr="00726255">
        <w:rPr>
          <w:rFonts w:ascii="宋体" w:eastAsia="宋体" w:hAnsi="宋体"/>
          <w:sz w:val="28"/>
          <w:szCs w:val="28"/>
        </w:rPr>
        <w:t>。</w:t>
      </w:r>
    </w:p>
    <w:p w:rsidR="00726255" w:rsidRDefault="009A52AB" w:rsidP="00726255">
      <w:pPr>
        <w:rPr>
          <w:rFonts w:ascii="宋体" w:eastAsia="宋体" w:hAnsi="宋体"/>
          <w:sz w:val="30"/>
          <w:szCs w:val="30"/>
        </w:rPr>
      </w:pPr>
      <w:r w:rsidRPr="00AD53B2">
        <w:rPr>
          <w:rFonts w:ascii="宋体" w:eastAsia="宋体" w:hAnsi="宋体" w:hint="eastAsia"/>
          <w:sz w:val="30"/>
          <w:szCs w:val="30"/>
        </w:rPr>
        <w:t>招标现场必须提供样品</w:t>
      </w:r>
      <w:r>
        <w:rPr>
          <w:rFonts w:ascii="宋体" w:eastAsia="宋体" w:hAnsi="宋体" w:hint="eastAsia"/>
          <w:sz w:val="30"/>
          <w:szCs w:val="30"/>
        </w:rPr>
        <w:t>。</w:t>
      </w:r>
    </w:p>
    <w:p w:rsidR="009A52AB" w:rsidRPr="00726255" w:rsidRDefault="009A52AB" w:rsidP="00726255">
      <w:pPr>
        <w:rPr>
          <w:rFonts w:ascii="宋体" w:eastAsia="宋体" w:hAnsi="宋体" w:hint="eastAsia"/>
          <w:sz w:val="28"/>
          <w:szCs w:val="28"/>
        </w:rPr>
      </w:pPr>
    </w:p>
    <w:p w:rsidR="00726255" w:rsidRPr="00726255" w:rsidRDefault="00726255" w:rsidP="00726255">
      <w:pPr>
        <w:rPr>
          <w:rFonts w:ascii="宋体" w:eastAsia="宋体" w:hAnsi="宋体"/>
          <w:sz w:val="28"/>
          <w:szCs w:val="28"/>
        </w:rPr>
      </w:pPr>
      <w:r w:rsidRPr="00726255">
        <w:rPr>
          <w:rFonts w:ascii="宋体" w:eastAsia="宋体" w:hAnsi="宋体"/>
          <w:sz w:val="28"/>
          <w:szCs w:val="28"/>
        </w:rPr>
        <w:t>2</w:t>
      </w:r>
      <w:r w:rsidRPr="00726255">
        <w:rPr>
          <w:rFonts w:ascii="宋体" w:eastAsia="宋体" w:hAnsi="宋体"/>
          <w:sz w:val="28"/>
          <w:szCs w:val="28"/>
        </w:rPr>
        <w:t>膀胱肿瘤细胞代谢异常检测试剂盒</w:t>
      </w:r>
      <w:r w:rsidRPr="00726255">
        <w:rPr>
          <w:rFonts w:ascii="宋体" w:eastAsia="宋体" w:hAnsi="宋体" w:hint="eastAsia"/>
          <w:sz w:val="28"/>
          <w:szCs w:val="28"/>
        </w:rPr>
        <w:t>参数</w:t>
      </w:r>
    </w:p>
    <w:p w:rsidR="00726255" w:rsidRPr="00726255" w:rsidRDefault="00B42E53" w:rsidP="00726255">
      <w:pPr>
        <w:rPr>
          <w:rFonts w:ascii="宋体" w:eastAsia="宋体" w:hAnsi="宋体"/>
          <w:sz w:val="28"/>
          <w:szCs w:val="28"/>
        </w:rPr>
      </w:pPr>
      <w:r w:rsidRPr="00726255">
        <w:rPr>
          <w:rFonts w:ascii="宋体" w:eastAsia="宋体" w:hAnsi="宋体"/>
          <w:sz w:val="28"/>
          <w:szCs w:val="28"/>
        </w:rPr>
        <w:t>用于尿路上皮癌的辅助诊断、体检早筛、复发监测、二次电切指导、预后评估及用药指导等</w:t>
      </w:r>
      <w:r>
        <w:rPr>
          <w:rFonts w:ascii="宋体" w:eastAsia="宋体" w:hAnsi="宋体" w:hint="eastAsia"/>
          <w:sz w:val="28"/>
          <w:szCs w:val="28"/>
        </w:rPr>
        <w:t>。</w:t>
      </w:r>
      <w:r w:rsidR="00726255" w:rsidRPr="00726255">
        <w:rPr>
          <w:rFonts w:ascii="宋体" w:eastAsia="宋体" w:hAnsi="宋体" w:hint="eastAsia"/>
          <w:sz w:val="28"/>
          <w:szCs w:val="28"/>
        </w:rPr>
        <w:t>该项目产品基于</w:t>
      </w:r>
      <w:r w:rsidR="00726255" w:rsidRPr="00726255">
        <w:rPr>
          <w:rFonts w:ascii="宋体" w:eastAsia="宋体" w:hAnsi="宋体"/>
          <w:sz w:val="28"/>
          <w:szCs w:val="28"/>
        </w:rPr>
        <w:t>Warburg效应，对病人尿液进行液基制片，通过单克隆抗体对样本细胞中的HK2、Pan-CK、CD45、CD66b 等特异性抗原、通过DAPI对细胞核进行免疫荧光染色，再使用单细胞图像分析仪，根据双染的特异性抗原自动识别能量代谢异常型的阳性脱落细胞，判读尿道</w:t>
      </w:r>
      <w:r>
        <w:rPr>
          <w:rFonts w:ascii="宋体" w:eastAsia="宋体" w:hAnsi="宋体"/>
          <w:sz w:val="28"/>
          <w:szCs w:val="28"/>
        </w:rPr>
        <w:t>上皮肿瘤阳性患者，并为医生提供找到的阳性细胞显微镜下明场视野</w:t>
      </w:r>
      <w:r w:rsidR="00726255" w:rsidRPr="00726255">
        <w:rPr>
          <w:rFonts w:ascii="宋体" w:eastAsia="宋体" w:hAnsi="宋体"/>
          <w:sz w:val="28"/>
          <w:szCs w:val="28"/>
        </w:rPr>
        <w:t>。包含染色液、抗体缓冲液、封闭液、</w:t>
      </w:r>
      <w:r w:rsidR="00726255" w:rsidRPr="00726255">
        <w:rPr>
          <w:rFonts w:ascii="宋体" w:eastAsia="宋体" w:hAnsi="宋体"/>
          <w:sz w:val="28"/>
          <w:szCs w:val="28"/>
        </w:rPr>
        <w:lastRenderedPageBreak/>
        <w:t>清洗液等。规格齐全：20人份／盒、50人份／盒、100人份／盒、200人份／盒</w:t>
      </w:r>
      <w:r w:rsidR="004808C3">
        <w:rPr>
          <w:rFonts w:ascii="宋体" w:eastAsia="宋体" w:hAnsi="宋体" w:hint="eastAsia"/>
          <w:sz w:val="28"/>
          <w:szCs w:val="28"/>
        </w:rPr>
        <w:t>。</w:t>
      </w:r>
      <w:r w:rsidR="00726255" w:rsidRPr="00726255">
        <w:rPr>
          <w:rFonts w:ascii="宋体" w:eastAsia="宋体" w:hAnsi="宋体"/>
          <w:sz w:val="28"/>
          <w:szCs w:val="28"/>
        </w:rPr>
        <w:t>染色液主要成分：人白细胞表面抗原（CD45）单克隆抗体﹣APC 荧光染料；己糖激酶2(HK2）单克隆抗体﹣PE荧光染料；细胞角蛋白（CK)单克隆抗体﹣FITC荧光染料；细胞核的荧光染料；CD66b单克隆抗体﹣APC 荧光染料。检测方法：液基制片，荧光染色，AI判读。</w:t>
      </w:r>
      <w:r w:rsidR="004808C3">
        <w:rPr>
          <w:rFonts w:ascii="宋体" w:eastAsia="宋体" w:hAnsi="宋体"/>
          <w:sz w:val="28"/>
          <w:szCs w:val="28"/>
        </w:rPr>
        <w:t>配套</w:t>
      </w:r>
      <w:r w:rsidR="004808C3" w:rsidRPr="00726255">
        <w:rPr>
          <w:rFonts w:ascii="宋体" w:eastAsia="宋体" w:hAnsi="宋体"/>
          <w:sz w:val="28"/>
          <w:szCs w:val="28"/>
        </w:rPr>
        <w:t>单细胞图像分析自动分离</w:t>
      </w:r>
      <w:r w:rsidR="004808C3">
        <w:rPr>
          <w:rFonts w:ascii="宋体" w:eastAsia="宋体" w:hAnsi="宋体" w:hint="eastAsia"/>
          <w:sz w:val="28"/>
          <w:szCs w:val="28"/>
        </w:rPr>
        <w:t>工具</w:t>
      </w:r>
      <w:r w:rsidR="004808C3" w:rsidRPr="00726255">
        <w:rPr>
          <w:rFonts w:ascii="宋体" w:eastAsia="宋体" w:hAnsi="宋体"/>
          <w:sz w:val="28"/>
          <w:szCs w:val="28"/>
        </w:rPr>
        <w:t>需</w:t>
      </w:r>
      <w:r w:rsidR="004808C3">
        <w:rPr>
          <w:rFonts w:ascii="宋体" w:eastAsia="宋体" w:hAnsi="宋体" w:hint="eastAsia"/>
          <w:sz w:val="28"/>
          <w:szCs w:val="28"/>
        </w:rPr>
        <w:t>报价</w:t>
      </w:r>
      <w:r w:rsidR="00660AF0">
        <w:rPr>
          <w:rFonts w:ascii="宋体" w:eastAsia="宋体" w:hAnsi="宋体" w:hint="eastAsia"/>
          <w:sz w:val="28"/>
          <w:szCs w:val="28"/>
        </w:rPr>
        <w:t>。</w:t>
      </w:r>
    </w:p>
    <w:p w:rsidR="00DA212A" w:rsidRPr="00726255" w:rsidRDefault="009A52AB" w:rsidP="00726255">
      <w:pPr>
        <w:rPr>
          <w:rFonts w:ascii="宋体" w:eastAsia="宋体" w:hAnsi="宋体"/>
          <w:sz w:val="28"/>
          <w:szCs w:val="28"/>
        </w:rPr>
      </w:pPr>
      <w:r w:rsidRPr="00AD53B2">
        <w:rPr>
          <w:rFonts w:ascii="宋体" w:eastAsia="宋体" w:hAnsi="宋体" w:hint="eastAsia"/>
          <w:sz w:val="30"/>
          <w:szCs w:val="30"/>
        </w:rPr>
        <w:t>招标现场必须提供样品</w:t>
      </w:r>
      <w:r>
        <w:rPr>
          <w:rFonts w:ascii="宋体" w:eastAsia="宋体" w:hAnsi="宋体" w:hint="eastAsia"/>
          <w:sz w:val="30"/>
          <w:szCs w:val="30"/>
        </w:rPr>
        <w:t>。</w:t>
      </w:r>
      <w:bookmarkStart w:id="0" w:name="_GoBack"/>
      <w:bookmarkEnd w:id="0"/>
    </w:p>
    <w:sectPr w:rsidR="00DA212A" w:rsidRPr="0072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DB"/>
    <w:rsid w:val="002A42DB"/>
    <w:rsid w:val="004808C3"/>
    <w:rsid w:val="00660AF0"/>
    <w:rsid w:val="00726255"/>
    <w:rsid w:val="007B1C3A"/>
    <w:rsid w:val="009A52AB"/>
    <w:rsid w:val="00AA6A07"/>
    <w:rsid w:val="00B42E53"/>
    <w:rsid w:val="00C5186B"/>
    <w:rsid w:val="00D36088"/>
    <w:rsid w:val="00D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A344"/>
  <w15:chartTrackingRefBased/>
  <w15:docId w15:val="{51EB46A4-9A8F-4445-AED9-EBB8C0DA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59C958C-0AD0-4491-AED8-061D7868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2025-06-09T09:51:00Z</dcterms:created>
  <dcterms:modified xsi:type="dcterms:W3CDTF">2025-06-09T10:09:00Z</dcterms:modified>
</cp:coreProperties>
</file>