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1A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1、</w:t>
      </w:r>
      <w:r>
        <w:rPr>
          <w:rFonts w:hint="eastAsia" w:ascii="仿宋" w:hAnsi="仿宋" w:eastAsia="仿宋" w:cs="仿宋"/>
          <w:b w:val="0"/>
          <w:bCs w:val="0"/>
          <w:color w:val="444444"/>
          <w:sz w:val="28"/>
          <w:szCs w:val="28"/>
          <w:shd w:val="clear" w:color="auto" w:fill="FFFFFF"/>
        </w:rPr>
        <w:t>植入式心脏起搏电极导线（配套</w:t>
      </w:r>
      <w:r>
        <w:rPr>
          <w:rFonts w:hint="eastAsia" w:ascii="仿宋" w:hAnsi="仿宋" w:eastAsia="仿宋" w:cs="仿宋"/>
          <w:b w:val="0"/>
          <w:bCs w:val="0"/>
          <w:color w:val="444444"/>
          <w:sz w:val="28"/>
          <w:szCs w:val="28"/>
          <w:shd w:val="clear" w:color="auto" w:fill="FFFFFF"/>
          <w:lang w:val="en-US" w:eastAsia="zh-CN"/>
        </w:rPr>
        <w:t>美敦力</w:t>
      </w:r>
      <w:r>
        <w:rPr>
          <w:rFonts w:hint="eastAsia" w:ascii="仿宋" w:hAnsi="仿宋" w:eastAsia="仿宋" w:cs="仿宋"/>
          <w:b w:val="0"/>
          <w:bCs w:val="0"/>
          <w:color w:val="444444"/>
          <w:sz w:val="28"/>
          <w:szCs w:val="28"/>
          <w:shd w:val="clear" w:color="auto" w:fill="FFFFFF"/>
        </w:rPr>
        <w:t>起搏器）</w:t>
      </w:r>
      <w:r>
        <w:rPr>
          <w:rFonts w:hint="eastAsia" w:ascii="仿宋" w:hAnsi="仿宋" w:eastAsia="仿宋" w:cs="仿宋"/>
          <w:b w:val="0"/>
          <w:bCs w:val="0"/>
          <w:color w:val="444444"/>
          <w:sz w:val="28"/>
          <w:szCs w:val="28"/>
          <w:shd w:val="clear" w:color="auto" w:fill="FFFFFF"/>
          <w:lang w:val="en-US" w:eastAsia="zh-CN"/>
        </w:rPr>
        <w:t>参数</w:t>
      </w:r>
    </w:p>
    <w:p w14:paraId="2F06AE68">
      <w:pPr>
        <w:numPr>
          <w:ilvl w:val="0"/>
          <w:numId w:val="0"/>
        </w:numPr>
        <w:ind w:left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匹配美敦力起搏器组成完整的起搏系统。电极可兼容1.5T和3.0T磁共振，无体位限制；螺旋头端外露，便于电极到位后直接旋拧；4.1Fr主动固定电极，减少挤压磨损，实心设计易拔除；7种三维预塑形传送导管，适应多种解剖和电极导线位置固定。一次性灭菌包装。</w:t>
      </w:r>
    </w:p>
    <w:p w14:paraId="38F3340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bookmarkStart w:id="0" w:name="_GoBack"/>
      <w:bookmarkEnd w:id="0"/>
    </w:p>
    <w:p w14:paraId="6F4FF0C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1C1026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2、</w:t>
      </w:r>
      <w:r>
        <w:rPr>
          <w:rFonts w:hint="eastAsia" w:ascii="仿宋" w:hAnsi="仿宋" w:eastAsia="仿宋" w:cs="仿宋"/>
          <w:b w:val="0"/>
          <w:bCs w:val="0"/>
          <w:color w:val="444444"/>
          <w:sz w:val="28"/>
          <w:szCs w:val="28"/>
          <w:shd w:val="clear" w:color="auto" w:fill="FFFFFF"/>
        </w:rPr>
        <w:t>植入式心脏起搏电极导线（配套先健起搏器）</w:t>
      </w:r>
      <w:r>
        <w:rPr>
          <w:rFonts w:hint="eastAsia" w:ascii="仿宋" w:hAnsi="仿宋" w:eastAsia="仿宋" w:cs="仿宋"/>
          <w:b w:val="0"/>
          <w:bCs w:val="0"/>
          <w:color w:val="444444"/>
          <w:sz w:val="28"/>
          <w:szCs w:val="28"/>
          <w:shd w:val="clear" w:color="auto" w:fill="FFFFFF"/>
          <w:lang w:val="en-US" w:eastAsia="zh-CN"/>
        </w:rPr>
        <w:t>参数</w:t>
      </w:r>
    </w:p>
    <w:p w14:paraId="094D0A73">
      <w:pPr>
        <w:numPr>
          <w:ilvl w:val="0"/>
          <w:numId w:val="0"/>
        </w:numPr>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匹配先健起搏器组成完整的起搏系统。电极型号齐全，心房和心室电极主动均有。电极由镍合金导体和硅橡胶绝缘层组成。主动电极包装盒内导丝数量和种类齐全且够用，不少于四根弯导丝，不少于三根直导丝。一次性灭菌包装。</w:t>
      </w:r>
    </w:p>
    <w:p w14:paraId="4577222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60D5ABC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D56319A">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3、人TERT基因启动子突变检测试剂盒（PCR-荧光探针法）参数</w:t>
      </w:r>
    </w:p>
    <w:p w14:paraId="11472EE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定性检测胶质瘤患者的TERT基因启动子突变，为胶质瘤患者病理分型提供参考。需匹配宏石SLAN-96S全自动医用PCR分析系统。快速检测，当天得到检测结果。需具备医疗器械三类注册证。采用实时荧光定量PCR方法（PCR-荧光探针法）；试剂盒采用特异性引物和Taqman探针技术，检测DNA样品中的突变基因，具有高灵敏度、特异性。同时设置内参 Beta-globin 基因。</w:t>
      </w:r>
    </w:p>
    <w:p w14:paraId="5C433CA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5D613CD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4E27B9F2">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4、CYPD6、CYP2C9、ADRB1、AGTR1、ACE检测试剂盒（PCR-溶解曲线法）参数</w:t>
      </w:r>
    </w:p>
    <w:p w14:paraId="66DD002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评估5大类降压药物（血管紧张素转化酶抑制剂（ACEI）、血管紧张素II受体阻滞剂（ARB）、β受体阻滞剂、钙离子拮抗剂（CCB）和利尿剂）在机体的代谢情况及药物敏感性。需匹配宏石SLAN-96S全自动医用PCR分析系统。快速检测，当天得到检测结果。需具备医疗器械三类注册证。采用PCR溶解曲线法；对CYPD6、CYP2C9、ADRB1、AGTR1、ACE五个基因同时进行检测。</w:t>
      </w:r>
    </w:p>
    <w:p w14:paraId="51A2EFBF">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55933747">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2132FDAF">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5、EGFR基因突变检测试剂盒（PCR-荧光探针法）参数</w:t>
      </w:r>
    </w:p>
    <w:p w14:paraId="249912CC">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定性检测非小细胞肺癌患者石蜡包埋组织样本DNA中人类EGFR基因多种突变，辅助进行靶向用药选择。需匹配宏石SLAN-96S全自动医用PCR分析系统。快速检测，当天得到检测结果。需具备医疗器械三类注册证。采用基于ARMS技术的多重荧光PCR法；具有对稀有突变检测的高特异性及高灵敏度，高选择性。伴随诊断EGFR 19外显子缺失、L858R点突变用于吉非替尼片。可检出 10 ng DNA样品中含量低至1%的EGFR基因突变；扩增时间≤90min；单样本检测时间≤3小时。</w:t>
      </w:r>
    </w:p>
    <w:p w14:paraId="5C79466C">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4AF0543D">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59A4094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6、K-ras基因突变检测试剂盒（PCR-荧光探针法）参数</w:t>
      </w:r>
    </w:p>
    <w:p w14:paraId="521C3E1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定性检测结直肠癌患者的石蜡包埋组织样本、血液样本DNA中K-ras基因12、13密码子上7种热点突变状态，辅助进行靶向用药选择。采用基于ARMS技术的多重荧光PCR法；需匹配宏石SLAN-96S全自动医用PCR分析系统。快速检测，当天得到检测结果。需具备医疗器械三类注册证。采用基于ARMS技术的多重荧光PCR法；具有对稀有突变检测的高特异性及高灵敏度，高选择性。伴随诊断K-ras基因野生型用于西妥昔单抗注射液检测。可检出 10 ng DNA样品中含量低至 1% 的K-ras基因突变；扩增时间≤90min；单样本检测时间≤3小时。</w:t>
      </w:r>
    </w:p>
    <w:p w14:paraId="276B405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226C0BF8">
      <w:pPr>
        <w:numPr>
          <w:ilvl w:val="0"/>
          <w:numId w:val="0"/>
        </w:numPr>
        <w:ind w:leftChars="0"/>
        <w:jc w:val="left"/>
        <w:rPr>
          <w:rFonts w:hint="default" w:ascii="仿宋" w:hAnsi="仿宋" w:eastAsia="仿宋" w:cs="仿宋"/>
          <w:b w:val="0"/>
          <w:bCs w:val="0"/>
          <w:color w:val="444444"/>
          <w:sz w:val="28"/>
          <w:szCs w:val="28"/>
          <w:shd w:val="clear" w:color="auto" w:fill="FFFFFF"/>
          <w:lang w:val="en-US" w:eastAsia="zh-CN"/>
        </w:rPr>
      </w:pPr>
    </w:p>
    <w:p w14:paraId="7B6A6ADA">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7、HER2基因检测试剂盒（荧光原位杂交法）参数</w:t>
      </w:r>
    </w:p>
    <w:p w14:paraId="16EA0243">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用于体外定性检测经10%中性福尔马林固定石蜡包埋乳腺癌、胃癌等肿瘤组织切片中HER2 基因的扩增情况。需匹配ThermoBrite S500-24原位杂交仪。需具备医疗器械三类注册证。伴随诊断</w:t>
      </w:r>
      <w:r>
        <w:rPr>
          <w:rFonts w:hint="eastAsia" w:ascii="仿宋" w:hAnsi="仿宋" w:eastAsia="仿宋" w:cs="仿宋"/>
          <w:b w:val="0"/>
          <w:bCs w:val="0"/>
          <w:color w:val="444444"/>
          <w:sz w:val="28"/>
          <w:szCs w:val="28"/>
          <w:highlight w:val="none"/>
          <w:shd w:val="clear" w:color="auto" w:fill="FFFFFF"/>
          <w:lang w:val="en-US" w:eastAsia="zh-CN"/>
        </w:rPr>
        <w:t>胃癌检测。</w:t>
      </w:r>
      <w:r>
        <w:rPr>
          <w:rFonts w:hint="eastAsia" w:ascii="仿宋" w:hAnsi="仿宋" w:eastAsia="仿宋" w:cs="仿宋"/>
          <w:b w:val="0"/>
          <w:bCs w:val="0"/>
          <w:color w:val="444444"/>
          <w:sz w:val="28"/>
          <w:szCs w:val="28"/>
          <w:shd w:val="clear" w:color="auto" w:fill="FFFFFF"/>
          <w:lang w:val="en-US" w:eastAsia="zh-CN"/>
        </w:rPr>
        <w:t>检测原理为碱基互补配对。 探针颜色、绿色，红色。 结果质量达标标准：信号亮度可判读; 杂交效率大于75%; 无影响判读的杂点。探针灵敏度≥98%、特异性≥98%、准确度100%。需报出配套辅助试剂，包括DAPI,无需配置的即用型胃蛋白酶等。</w:t>
      </w:r>
    </w:p>
    <w:p w14:paraId="74A3715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116AA68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1750D0E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8、循环肿瘤细胞（CTC）检测试剂盒参数</w:t>
      </w:r>
    </w:p>
    <w:p w14:paraId="07962152">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用于循环肿瘤细胞（CTC）的检测。需匹配ThermoBrite S500-24原位杂交仪。适应症：肺癌、卵巢癌、胰腺癌、胃癌、鼻咽癌、乳腺癌、肾癌、结直肠癌、肝癌、食管癌、宫颈癌、子宫内膜癌、骨肉瘤、胆管癌、前列腺癌、膀胱癌等上皮细胞来源肿瘤疾病。可通过检测外周血中循环肿瘤细胞对恶性肿瘤进行辅助诊断、治疗疗效监测、耐药监测、复发转移监测、预后评估。</w:t>
      </w:r>
    </w:p>
    <w:p w14:paraId="3A937F55">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4B9F0EBF">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0438F4E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9、一次性使用防针刺无菌注射器（带针）参数</w:t>
      </w:r>
    </w:p>
    <w:p w14:paraId="5EF40814">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药液的抽取、转移与注射，通过防针刺装置避免医护人员操作时被针刺伤。产品一次性使用，经环氧乙烷灭菌。由针管、护套、防针刺装置、针座及润滑剂(符合药典)组成。规格型号：1ml，2ml，5ml，10ml，20ml，30ml，50ml。</w:t>
      </w:r>
    </w:p>
    <w:p w14:paraId="2E77BA6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0D56C258">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6E1B084">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10、一次性使用精密输液器参数</w:t>
      </w:r>
    </w:p>
    <w:p w14:paraId="74114FA3">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用于临床药物说明书中明确要求使用精密过滤药物进行静脉输液的患者。孔径≤0.2um。产品材质不含塑化剂（DEHP）。具备自动排气、自动止液功能。</w:t>
      </w:r>
    </w:p>
    <w:p w14:paraId="6D52B480">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7E37C13D">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2C6B4CCE">
      <w:pPr>
        <w:numPr>
          <w:ilvl w:val="0"/>
          <w:numId w:val="0"/>
        </w:numPr>
        <w:ind w:leftChars="0"/>
        <w:jc w:val="left"/>
        <w:rPr>
          <w:rFonts w:hint="default"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11、一次性使用肛门镜参数</w:t>
      </w:r>
    </w:p>
    <w:p w14:paraId="71F7466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sz w:val="28"/>
          <w:szCs w:val="28"/>
          <w:lang w:val="en-US" w:eastAsia="zh-CN"/>
        </w:rPr>
        <w:t>所投产品需在省标目录内。</w:t>
      </w:r>
      <w:r>
        <w:rPr>
          <w:rFonts w:hint="eastAsia" w:ascii="仿宋" w:hAnsi="仿宋" w:eastAsia="仿宋" w:cs="仿宋"/>
          <w:b w:val="0"/>
          <w:bCs w:val="0"/>
          <w:color w:val="444444"/>
          <w:sz w:val="28"/>
          <w:szCs w:val="28"/>
          <w:shd w:val="clear" w:color="auto" w:fill="FFFFFF"/>
          <w:lang w:val="en-US" w:eastAsia="zh-CN"/>
        </w:rPr>
        <w:t>用于临床肛肠检查。由镜管、镜芯、圆头组成，镜管、圆头采用符合YY/T0242-2007中规定的医用输液、输血、注射器用聚丙烯专用料制成，镜芯采用符合YV/T0114-2008中规定的医用输液、输血、注射器用聚乙烯专用料制成。规格型号：小号、中号（按照肛门镜锥形平口的大小）。一次性使用无菌独立包装。</w:t>
      </w:r>
    </w:p>
    <w:p w14:paraId="113567F9">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25655656">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0C9CF25">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r>
        <w:rPr>
          <w:rFonts w:hint="eastAsia" w:ascii="仿宋" w:hAnsi="仿宋" w:eastAsia="仿宋" w:cs="仿宋"/>
          <w:b w:val="0"/>
          <w:bCs w:val="0"/>
          <w:color w:val="444444"/>
          <w:sz w:val="28"/>
          <w:szCs w:val="28"/>
          <w:shd w:val="clear" w:color="auto" w:fill="FFFFFF"/>
          <w:lang w:val="en-US" w:eastAsia="zh-CN"/>
        </w:rPr>
        <w:t>12、胰腺管支架及导引系统参数</w:t>
      </w:r>
    </w:p>
    <w:p w14:paraId="574CF90D">
      <w:pPr>
        <w:numPr>
          <w:ilvl w:val="0"/>
          <w:numId w:val="0"/>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所投产品需在省标目录内。用于内窥镜下插入胰腺管，进行胰液的内引流。由导引系统和支架组成。支架由聚乙烯制成，推送导管由聚四氟乙烯制成。直径≥5Fr。支架长度:5-15cm。一次性无菌独立包装。</w:t>
      </w:r>
    </w:p>
    <w:p w14:paraId="24F7E084">
      <w:pPr>
        <w:numPr>
          <w:ilvl w:val="0"/>
          <w:numId w:val="0"/>
        </w:numPr>
        <w:ind w:leftChars="0"/>
        <w:jc w:val="left"/>
        <w:rPr>
          <w:rFonts w:hint="default" w:ascii="仿宋" w:hAnsi="仿宋" w:eastAsia="仿宋" w:cs="仿宋"/>
          <w:b w:val="0"/>
          <w:bCs w:val="0"/>
          <w:sz w:val="28"/>
          <w:szCs w:val="28"/>
          <w:lang w:val="en-US" w:eastAsia="zh-CN"/>
        </w:rPr>
      </w:pPr>
      <w:r>
        <w:rPr>
          <w:rFonts w:hint="eastAsia" w:ascii="仿宋" w:hAnsi="仿宋" w:eastAsia="仿宋" w:cs="仿宋"/>
          <w:b w:val="0"/>
          <w:bCs w:val="0"/>
          <w:color w:val="444444"/>
          <w:sz w:val="28"/>
          <w:szCs w:val="28"/>
          <w:shd w:val="clear" w:color="auto" w:fill="FFFFFF"/>
          <w:lang w:val="en-US" w:eastAsia="zh-CN"/>
        </w:rPr>
        <w:t>招标现场需提供样品。</w:t>
      </w:r>
    </w:p>
    <w:p w14:paraId="1E08F5E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p w14:paraId="64B0243B">
      <w:pPr>
        <w:numPr>
          <w:ilvl w:val="0"/>
          <w:numId w:val="0"/>
        </w:numPr>
        <w:ind w:leftChars="0"/>
        <w:jc w:val="left"/>
        <w:rPr>
          <w:rFonts w:hint="eastAsia" w:ascii="仿宋" w:hAnsi="仿宋" w:eastAsia="仿宋" w:cs="仿宋"/>
          <w:b w:val="0"/>
          <w:bCs w:val="0"/>
          <w:color w:val="444444"/>
          <w:sz w:val="28"/>
          <w:szCs w:val="28"/>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93114"/>
    <w:rsid w:val="148137BC"/>
    <w:rsid w:val="184E1A4E"/>
    <w:rsid w:val="1A4E34E2"/>
    <w:rsid w:val="4EF15C0F"/>
    <w:rsid w:val="52C23F57"/>
    <w:rsid w:val="6B1B42E7"/>
    <w:rsid w:val="6B310E55"/>
    <w:rsid w:val="744E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2133</Words>
  <Characters>2457</Characters>
  <Lines>0</Lines>
  <Paragraphs>0</Paragraphs>
  <TotalTime>0</TotalTime>
  <ScaleCrop>false</ScaleCrop>
  <LinksUpToDate>false</LinksUpToDate>
  <CharactersWithSpaces>2475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2025-11-10T02:39:00Z</dcterms:created>
  <dc:creator>Administrator</dc:creator>
  <cp:lastModifiedBy>pH</cp:lastModifiedBy>
  <dcterms:modified xsi:type="dcterms:W3CDTF">2025-11-10T10:23:46Z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eyJoZGlkIjoiY2YzNGVlNGUwNzBmYTNlMjlhYTcxZWJlYzAzMmI4ODgiLCJ1c2VySWQiOiIxMjE3NTg2MjUwIn0=</vt:lpwstr>
  </property>
  <property fmtid="{D5CDD505-2E9C-101B-9397-08002B2CF9AE}" pid="4" name="ICV">
    <vt:lpwstr>A9463EC14242458CB127259BB63B6903_13</vt:lpwstr>
  </property>
</Properties>
</file>