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614D">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w:t>
      </w:r>
      <w:r>
        <w:rPr>
          <w:rFonts w:hint="eastAsia" w:asciiTheme="majorEastAsia" w:hAnsiTheme="majorEastAsia" w:eastAsiaTheme="majorEastAsia" w:cstheme="majorEastAsia"/>
        </w:rPr>
        <w:t xml:space="preserve">口鼻气雾剂给药器参数 </w:t>
      </w:r>
    </w:p>
    <w:p w14:paraId="620DD2C5">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所投产品需在省标目录内。用于</w:t>
      </w:r>
      <w:r>
        <w:rPr>
          <w:rFonts w:hint="eastAsia" w:asciiTheme="majorEastAsia" w:hAnsiTheme="majorEastAsia" w:eastAsiaTheme="majorEastAsia" w:cstheme="majorEastAsia"/>
        </w:rPr>
        <w:t>通过自然呼吸吸入岩盐气溶胶颗粒，辅助治疗呼吸系统疾病。10ml／瓶；产品由瓶体、瓶盖和喷嘴（每盒配备≥1个），采用高分子材料制成。产品不含药物，无异味。需适配南京宽诚US-F400岩盐气溶胶治疗仪。</w:t>
      </w:r>
    </w:p>
    <w:p w14:paraId="2AEB874F">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644483E8">
      <w:pPr>
        <w:rPr>
          <w:rFonts w:hint="eastAsia" w:asciiTheme="majorEastAsia" w:hAnsiTheme="majorEastAsia" w:eastAsiaTheme="majorEastAsia" w:cstheme="majorEastAsia"/>
          <w:lang w:val="en-US" w:eastAsia="zh-CN"/>
        </w:rPr>
      </w:pPr>
    </w:p>
    <w:p w14:paraId="4976D85D">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心内血液回收器参数</w:t>
      </w:r>
    </w:p>
    <w:p w14:paraId="01901026">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所投产品需在省标目录内。</w:t>
      </w:r>
      <w:r>
        <w:rPr>
          <w:rFonts w:hint="eastAsia" w:asciiTheme="majorEastAsia" w:hAnsiTheme="majorEastAsia" w:eastAsiaTheme="majorEastAsia" w:cstheme="majorEastAsia"/>
        </w:rPr>
        <w:t>用于体外循环下各种心脏手术中回收并滤过血液。PVC材质</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1500ml</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有存血筒、消泡网、过滤网等组成。储血量≥1500ml，顶部设有不同规格的吸引孔，方便连接不同型号管道，有网内、网外药口、加液口。一次性无菌独立包装。</w:t>
      </w:r>
    </w:p>
    <w:p w14:paraId="7D32040D">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1DEBED46">
      <w:pPr>
        <w:rPr>
          <w:rFonts w:hint="eastAsia" w:asciiTheme="majorEastAsia" w:hAnsiTheme="majorEastAsia" w:eastAsiaTheme="majorEastAsia" w:cstheme="majorEastAsia"/>
          <w:lang w:val="en-US" w:eastAsia="zh-CN"/>
        </w:rPr>
      </w:pPr>
    </w:p>
    <w:p w14:paraId="076306A8">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lang w:val="en-US" w:eastAsia="zh-CN"/>
        </w:rPr>
        <w:t>植入式骶神经刺激器套件参数</w:t>
      </w:r>
    </w:p>
    <w:p w14:paraId="1A347923">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w:t>
      </w:r>
      <w:r>
        <w:rPr>
          <w:rFonts w:hint="eastAsia" w:asciiTheme="majorEastAsia" w:hAnsiTheme="majorEastAsia" w:eastAsiaTheme="majorEastAsia" w:cstheme="majorEastAsia"/>
          <w:lang w:val="en-US" w:eastAsia="zh-CN"/>
        </w:rPr>
        <w:t>用于治疗难治性膀胱过度活动症、非梗阻性尿潴留、大便失禁、神经源性下尿路功能障碍、间质性膀胱炎以及其他排便功能障碍等</w:t>
      </w:r>
      <w:r>
        <w:rPr>
          <w:rFonts w:hint="eastAsia" w:asciiTheme="majorEastAsia" w:hAnsiTheme="majorEastAsia" w:eastAsiaTheme="majorEastAsia" w:cstheme="majorEastAsia"/>
          <w:lang w:val="en-US" w:eastAsia="zh-CN"/>
        </w:rPr>
        <w:t>。</w:t>
      </w:r>
    </w:p>
    <w:p w14:paraId="151A75A9">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植入式骶神经刺激电极套件</w:t>
      </w:r>
    </w:p>
    <w:p w14:paraId="0193E760">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可</w:t>
      </w:r>
      <w:r>
        <w:rPr>
          <w:rFonts w:hint="eastAsia" w:asciiTheme="majorEastAsia" w:hAnsiTheme="majorEastAsia" w:eastAsiaTheme="majorEastAsia" w:cstheme="majorEastAsia"/>
          <w:lang w:val="en-US" w:eastAsia="zh-CN"/>
        </w:rPr>
        <w:t>1.5T磁共振，提供证明材料</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自固定倒刺电极、绝缘层致密螺旋</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电极的形状为直行，配备弯头导丝</w:t>
      </w:r>
      <w:r>
        <w:rPr>
          <w:rFonts w:hint="eastAsia" w:asciiTheme="majorEastAsia" w:hAnsiTheme="majorEastAsia" w:eastAsiaTheme="majorEastAsia" w:cstheme="majorEastAsia"/>
          <w:lang w:val="en-US" w:eastAsia="zh-CN"/>
        </w:rPr>
        <w:t>。</w:t>
      </w:r>
    </w:p>
    <w:p w14:paraId="3E6B9387">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植入式骶神经刺激器</w:t>
      </w:r>
    </w:p>
    <w:p w14:paraId="17CFA876">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可</w:t>
      </w:r>
      <w:r>
        <w:rPr>
          <w:rFonts w:hint="eastAsia" w:asciiTheme="majorEastAsia" w:hAnsiTheme="majorEastAsia" w:eastAsiaTheme="majorEastAsia" w:cstheme="majorEastAsia"/>
          <w:lang w:val="en-US" w:eastAsia="zh-CN"/>
        </w:rPr>
        <w:t>1.5T磁共振，提供证明材料</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外罩材质为钛</w:t>
      </w:r>
      <w:r>
        <w:rPr>
          <w:rFonts w:hint="eastAsia" w:asciiTheme="majorEastAsia" w:hAnsiTheme="majorEastAsia" w:eastAsiaTheme="majorEastAsia" w:cstheme="majorEastAsia"/>
          <w:lang w:val="en-US" w:eastAsia="zh-CN"/>
        </w:rPr>
        <w:t>。</w:t>
      </w:r>
    </w:p>
    <w:p w14:paraId="08EFF021">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电极修补套件</w:t>
      </w:r>
    </w:p>
    <w:p w14:paraId="48F4B975">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用作将骶神经刺激电极经皮下导入或移出体内；配备术中测试电缆、深度指示针、扭矩扳手、隧道器、扩张器。</w:t>
      </w:r>
    </w:p>
    <w:p w14:paraId="542036A5">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755612EB">
      <w:pPr>
        <w:rPr>
          <w:rFonts w:hint="eastAsia" w:asciiTheme="majorEastAsia" w:hAnsiTheme="majorEastAsia" w:eastAsiaTheme="majorEastAsia" w:cstheme="majorEastAsia"/>
        </w:rPr>
      </w:pPr>
    </w:p>
    <w:p w14:paraId="05B4CA82">
      <w:pP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lang w:val="en-US" w:eastAsia="zh-CN"/>
        </w:rPr>
        <w:t>中空纤维膜式氧合器</w:t>
      </w:r>
      <w:r>
        <w:rPr>
          <w:rFonts w:hint="eastAsia" w:asciiTheme="majorEastAsia" w:hAnsiTheme="majorEastAsia" w:eastAsiaTheme="majorEastAsia" w:cstheme="majorEastAsia"/>
          <w:lang w:val="en-US" w:eastAsia="zh-CN"/>
        </w:rPr>
        <w:t>参数</w:t>
      </w:r>
    </w:p>
    <w:p w14:paraId="76F53DC9">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w:t>
      </w:r>
      <w:r>
        <w:rPr>
          <w:rFonts w:hint="eastAsia" w:asciiTheme="majorEastAsia" w:hAnsiTheme="majorEastAsia" w:eastAsiaTheme="majorEastAsia" w:cstheme="majorEastAsia"/>
          <w:lang w:eastAsia="zh-CN"/>
        </w:rPr>
        <w:t>体外循环手术期间</w:t>
      </w:r>
      <w:r>
        <w:rPr>
          <w:rFonts w:hint="eastAsia" w:asciiTheme="majorEastAsia" w:hAnsiTheme="majorEastAsia" w:eastAsiaTheme="majorEastAsia" w:cstheme="majorEastAsia"/>
          <w:lang w:val="en-US" w:eastAsia="zh-CN"/>
        </w:rPr>
        <w:t>代替心肺功能使用</w:t>
      </w:r>
      <w:r>
        <w:rPr>
          <w:rFonts w:hint="eastAsia" w:asciiTheme="majorEastAsia" w:hAnsiTheme="majorEastAsia" w:eastAsiaTheme="majorEastAsia" w:cstheme="majorEastAsia"/>
          <w:lang w:eastAsia="zh-CN"/>
        </w:rPr>
        <w:t>对静脉血液进行氧合、热交换及作为静脉血的储血瓶</w:t>
      </w:r>
      <w:r>
        <w:rPr>
          <w:rFonts w:hint="eastAsia" w:asciiTheme="majorEastAsia" w:hAnsiTheme="majorEastAsia" w:eastAsiaTheme="majorEastAsia" w:cstheme="majorEastAsia"/>
          <w:lang w:val="en-US" w:eastAsia="zh-CN"/>
        </w:rPr>
        <w:t>。材质</w:t>
      </w:r>
      <w:r>
        <w:rPr>
          <w:rFonts w:hint="eastAsia" w:asciiTheme="majorEastAsia" w:hAnsiTheme="majorEastAsia" w:eastAsiaTheme="majorEastAsia" w:cstheme="majorEastAsia"/>
        </w:rPr>
        <w:t>要求：</w:t>
      </w:r>
      <w:r>
        <w:rPr>
          <w:rFonts w:hint="eastAsia" w:asciiTheme="majorEastAsia" w:hAnsiTheme="majorEastAsia" w:eastAsiaTheme="majorEastAsia" w:cstheme="majorEastAsia"/>
          <w:lang w:val="en-US" w:eastAsia="zh-CN"/>
        </w:rPr>
        <w:t>PVC</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规格</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儿童型、婴幼儿型、成人型。有热交换器、硬壳静脉血储存器和过滤器等组成。连续使用时间≥6个小时。预充量小，操作简便。一次性无菌包装。提供膜式氧合器配套支架。</w:t>
      </w:r>
    </w:p>
    <w:tbl>
      <w:tblPr>
        <w:tblStyle w:val="3"/>
        <w:tblW w:w="8217" w:type="dxa"/>
        <w:jc w:val="center"/>
        <w:tblLayout w:type="fixed"/>
        <w:tblCellMar>
          <w:top w:w="0" w:type="dxa"/>
          <w:left w:w="108" w:type="dxa"/>
          <w:bottom w:w="0" w:type="dxa"/>
          <w:right w:w="108" w:type="dxa"/>
        </w:tblCellMar>
      </w:tblPr>
      <w:tblGrid>
        <w:gridCol w:w="3256"/>
        <w:gridCol w:w="1653"/>
        <w:gridCol w:w="1653"/>
        <w:gridCol w:w="1"/>
        <w:gridCol w:w="1654"/>
      </w:tblGrid>
      <w:tr w14:paraId="46409A41">
        <w:tblPrEx>
          <w:tblCellMar>
            <w:top w:w="0" w:type="dxa"/>
            <w:left w:w="108" w:type="dxa"/>
            <w:bottom w:w="0" w:type="dxa"/>
            <w:right w:w="108" w:type="dxa"/>
          </w:tblCellMar>
        </w:tblPrEx>
        <w:trPr>
          <w:trHeight w:val="738" w:hRule="atLeast"/>
          <w:jc w:val="center"/>
        </w:trPr>
        <w:tc>
          <w:tcPr>
            <w:tcW w:w="3256" w:type="dxa"/>
            <w:tcBorders>
              <w:top w:val="single" w:color="000000" w:sz="4" w:space="0"/>
              <w:left w:val="single" w:color="000000" w:sz="4" w:space="0"/>
              <w:bottom w:val="single" w:color="000000" w:sz="4" w:space="0"/>
              <w:right w:val="single" w:color="000000" w:sz="4" w:space="0"/>
              <w:tl2br w:val="single" w:color="000000" w:sz="4" w:space="0"/>
            </w:tcBorders>
            <w:noWrap w:val="0"/>
            <w:vAlign w:val="top"/>
          </w:tcPr>
          <w:p w14:paraId="31A88A3F">
            <w:pPr>
              <w:rPr>
                <w:rFonts w:hint="eastAsia" w:asciiTheme="majorEastAsia" w:hAnsiTheme="majorEastAsia" w:eastAsiaTheme="majorEastAsia" w:cstheme="majorEastAsia"/>
                <w:lang w:val="en-US"/>
              </w:rPr>
            </w:pPr>
            <w:r>
              <w:rPr>
                <w:rFonts w:hint="eastAsia" w:asciiTheme="majorEastAsia" w:hAnsiTheme="majorEastAsia" w:eastAsiaTheme="majorEastAsia" w:cstheme="majorEastAsia"/>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85090</wp:posOffset>
                      </wp:positionV>
                      <wp:extent cx="847725" cy="3524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47725" cy="266700"/>
                              </a:xfrm>
                              <a:prstGeom prst="rect">
                                <a:avLst/>
                              </a:prstGeom>
                              <a:noFill/>
                              <a:ln w="6350">
                                <a:noFill/>
                              </a:ln>
                              <a:effectLst/>
                            </wps:spPr>
                            <wps:txbx>
                              <w:txbxContent>
                                <w:p w14:paraId="1A4C2493">
                                  <w:r>
                                    <w:rPr>
                                      <w:rFonts w:hint="eastAsia" w:ascii="宋体" w:hAnsi="宋体" w:cs="宋体"/>
                                      <w:color w:val="000000"/>
                                      <w:kern w:val="0"/>
                                      <w:sz w:val="24"/>
                                      <w:szCs w:val="24"/>
                                    </w:rPr>
                                    <w:t>参</w:t>
                                  </w:r>
                                  <w:r>
                                    <w:rPr>
                                      <w:rFonts w:ascii="宋体" w:hAnsi="宋体" w:cs="宋体"/>
                                      <w:color w:val="000000"/>
                                      <w:kern w:val="0"/>
                                      <w:sz w:val="24"/>
                                      <w:szCs w:val="24"/>
                                    </w:rPr>
                                    <w:t xml:space="preserve">  </w:t>
                                  </w:r>
                                  <w:r>
                                    <w:rPr>
                                      <w:rFonts w:hint="eastAsia" w:ascii="宋体" w:hAnsi="宋体" w:cs="宋体"/>
                                      <w:color w:val="000000"/>
                                      <w:kern w:val="0"/>
                                      <w:sz w:val="24"/>
                                      <w:szCs w:val="24"/>
                                    </w:rPr>
                                    <w:t>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pt;margin-top:6.7pt;height:27.75pt;width:66.75pt;z-index:251659264;mso-width-relative:page;mso-height-relative:page;" filled="f" stroked="f" coordsize="21600,21600" o:gfxdata="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7JL29kAAAAIAQAADwAAAAAAAAABACAAAAAi&#10;AAAAZHJzL2Rvd25yZXYueG1sUEsBAhQAFAAAAAgAh07iQCX8oJBCAgAAcwQAAA4AAAAAAAAAAQAg&#10;AAAAKAEAAGRycy9lMm9Eb2MueG1sUEsFBgAAAAAGAAYAWQEAANwFAAAAAA==&#10;">
                      <v:fill on="f" focussize="0,0"/>
                      <v:stroke on="f" weight="0.5pt"/>
                      <v:imagedata o:title=""/>
                      <o:lock v:ext="edit" aspectratio="f"/>
                      <v:textbox>
                        <w:txbxContent>
                          <w:p w14:paraId="1A4C2493">
                            <w:r>
                              <w:rPr>
                                <w:rFonts w:hint="eastAsia" w:ascii="宋体" w:hAnsi="宋体" w:cs="宋体"/>
                                <w:color w:val="000000"/>
                                <w:kern w:val="0"/>
                                <w:sz w:val="24"/>
                                <w:szCs w:val="24"/>
                              </w:rPr>
                              <w:t>参</w:t>
                            </w:r>
                            <w:r>
                              <w:rPr>
                                <w:rFonts w:ascii="宋体" w:hAnsi="宋体" w:cs="宋体"/>
                                <w:color w:val="000000"/>
                                <w:kern w:val="0"/>
                                <w:sz w:val="24"/>
                                <w:szCs w:val="24"/>
                              </w:rPr>
                              <w:t xml:space="preserve">  </w:t>
                            </w:r>
                            <w:r>
                              <w:rPr>
                                <w:rFonts w:hint="eastAsia" w:ascii="宋体" w:hAnsi="宋体" w:cs="宋体"/>
                                <w:color w:val="000000"/>
                                <w:kern w:val="0"/>
                                <w:sz w:val="24"/>
                                <w:szCs w:val="24"/>
                              </w:rPr>
                              <w:t>数</w:t>
                            </w:r>
                          </w:p>
                        </w:txbxContent>
                      </v:textbox>
                    </v:shape>
                  </w:pict>
                </mc:Fallback>
              </mc:AlternateContent>
            </w:r>
            <w:r>
              <w:rPr>
                <w:rFonts w:hint="eastAsia" w:asciiTheme="majorEastAsia" w:hAnsiTheme="majorEastAsia" w:eastAsiaTheme="majorEastAsia" w:cstheme="majorEastAsia"/>
                <w:lang w:val="en-US" w:eastAsia="zh-CN"/>
              </w:rPr>
              <w:t xml:space="preserve">                  规格</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91D6151">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婴幼儿</w:t>
            </w:r>
            <w:r>
              <w:rPr>
                <w:rFonts w:hint="eastAsia" w:asciiTheme="majorEastAsia" w:hAnsiTheme="majorEastAsia" w:eastAsiaTheme="majorEastAsia" w:cstheme="majorEastAsia"/>
                <w:lang w:val="en-US" w:eastAsia="zh-CN"/>
              </w:rPr>
              <w:t>型</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47E7B8A8">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儿童</w:t>
            </w:r>
            <w:r>
              <w:rPr>
                <w:rFonts w:hint="eastAsia" w:asciiTheme="majorEastAsia" w:hAnsiTheme="majorEastAsia" w:eastAsiaTheme="majorEastAsia" w:cstheme="majorEastAsia"/>
                <w:lang w:val="en-US" w:eastAsia="zh-CN"/>
              </w:rPr>
              <w:t>型</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EFCC80E">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成人</w:t>
            </w:r>
          </w:p>
        </w:tc>
      </w:tr>
      <w:tr w14:paraId="19A0D22A">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6C3B93C8">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静脉贮血器容积±10%</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B6AF3D8">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2L</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5A20A2DE">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3L</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E7AB7C2">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rPr>
              <w:t>4</w:t>
            </w:r>
            <w:r>
              <w:rPr>
                <w:rFonts w:hint="eastAsia" w:asciiTheme="majorEastAsia" w:hAnsiTheme="majorEastAsia" w:eastAsiaTheme="majorEastAsia" w:cstheme="majorEastAsia"/>
              </w:rPr>
              <w:t>L</w:t>
            </w:r>
          </w:p>
        </w:tc>
      </w:tr>
      <w:tr w14:paraId="186E5B3C">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771389BA">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最低安全液血面±10%</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7B5E95D">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200ml</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44A36752">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250ml</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BDB2F39">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300ml</w:t>
            </w:r>
          </w:p>
        </w:tc>
      </w:tr>
      <w:tr w14:paraId="20ADBA42">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20E9485D">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最大血流量≥(L/min)</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B58488D">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2.5</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64BC7686">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3.5</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1412883">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7</w:t>
            </w:r>
          </w:p>
        </w:tc>
      </w:tr>
      <w:tr w14:paraId="43CAA60F">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04DD2E43">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氧合膜面积≥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87969E3">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1m²</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7F10114E">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m²</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EF17B29">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1.8m²</w:t>
            </w:r>
          </w:p>
        </w:tc>
      </w:tr>
      <w:tr w14:paraId="60780B72">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5D71D549">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有效热交换</w:t>
            </w:r>
            <w:r>
              <w:rPr>
                <w:rFonts w:hint="eastAsia" w:asciiTheme="majorEastAsia" w:hAnsiTheme="majorEastAsia" w:eastAsiaTheme="majorEastAsia" w:cstheme="majorEastAsia"/>
              </w:rPr>
              <w:t>面积≥</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2DF535E">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0.2m²</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79A04E44">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m²</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06B4034">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m²</w:t>
            </w:r>
          </w:p>
        </w:tc>
      </w:tr>
      <w:tr w14:paraId="452B92F3">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7B89772C">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血气、热交换部分预充量≤</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FD8E0AB">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160ml</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3F0ABA94">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190ml</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010F6E9">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270ml</w:t>
            </w:r>
          </w:p>
        </w:tc>
      </w:tr>
      <w:tr w14:paraId="73318A7D">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5BF4320F">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静脉血入口尺寸(mm)</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1D346F5">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9.5或6.3</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4914D235">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12.7或9.5</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1DA8FD7">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12.7</w:t>
            </w:r>
          </w:p>
        </w:tc>
      </w:tr>
      <w:tr w14:paraId="7E5DE8D6">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142ACD61">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动脉血出口尺寸(mm)</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EE57345">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9.5或6.3</w:t>
            </w:r>
          </w:p>
        </w:tc>
        <w:tc>
          <w:tcPr>
            <w:tcW w:w="1654" w:type="dxa"/>
            <w:gridSpan w:val="2"/>
            <w:tcBorders>
              <w:top w:val="single" w:color="000000" w:sz="4" w:space="0"/>
              <w:left w:val="single" w:color="000000" w:sz="4" w:space="0"/>
              <w:bottom w:val="single" w:color="000000" w:sz="4" w:space="0"/>
              <w:right w:val="single" w:color="000000" w:sz="4" w:space="0"/>
            </w:tcBorders>
            <w:noWrap w:val="0"/>
            <w:vAlign w:val="center"/>
          </w:tcPr>
          <w:p w14:paraId="651AC708">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9.5</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70F3BD8">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9.5</w:t>
            </w:r>
          </w:p>
        </w:tc>
      </w:tr>
      <w:tr w14:paraId="29E2DF9C">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59CD3094">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静脉血库过滤孔径≤（um）</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49E7E93">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40</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EE5A76F">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40</w:t>
            </w:r>
          </w:p>
        </w:tc>
        <w:tc>
          <w:tcPr>
            <w:tcW w:w="1655" w:type="dxa"/>
            <w:gridSpan w:val="2"/>
            <w:tcBorders>
              <w:top w:val="single" w:color="000000" w:sz="4" w:space="0"/>
              <w:left w:val="single" w:color="000000" w:sz="4" w:space="0"/>
              <w:bottom w:val="single" w:color="000000" w:sz="4" w:space="0"/>
              <w:right w:val="single" w:color="000000" w:sz="4" w:space="0"/>
            </w:tcBorders>
            <w:noWrap w:val="0"/>
            <w:vAlign w:val="center"/>
          </w:tcPr>
          <w:p w14:paraId="0CACDEA3">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40</w:t>
            </w:r>
          </w:p>
        </w:tc>
      </w:tr>
      <w:tr w14:paraId="35D34F60">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55FCA218">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限压阀正/负压安全值</w:t>
            </w:r>
          </w:p>
        </w:tc>
        <w:tc>
          <w:tcPr>
            <w:tcW w:w="4961" w:type="dxa"/>
            <w:gridSpan w:val="4"/>
            <w:tcBorders>
              <w:top w:val="single" w:color="000000" w:sz="4" w:space="0"/>
              <w:left w:val="single" w:color="000000" w:sz="4" w:space="0"/>
              <w:bottom w:val="single" w:color="000000" w:sz="4" w:space="0"/>
              <w:right w:val="single" w:color="000000" w:sz="4" w:space="0"/>
            </w:tcBorders>
            <w:noWrap w:val="0"/>
            <w:vAlign w:val="center"/>
          </w:tcPr>
          <w:p w14:paraId="0C9C1D18">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正压≥5mmHg,负压≤-150mmHg</w:t>
            </w:r>
          </w:p>
        </w:tc>
      </w:tr>
      <w:tr w14:paraId="6D925FDC">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28248DE9">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热交换器进出水口尺寸(mm)</w:t>
            </w:r>
          </w:p>
        </w:tc>
        <w:tc>
          <w:tcPr>
            <w:tcW w:w="4961" w:type="dxa"/>
            <w:gridSpan w:val="4"/>
            <w:tcBorders>
              <w:top w:val="single" w:color="000000" w:sz="4" w:space="0"/>
              <w:left w:val="single" w:color="000000" w:sz="4" w:space="0"/>
              <w:bottom w:val="single" w:color="000000" w:sz="4" w:space="0"/>
              <w:right w:val="single" w:color="000000" w:sz="4" w:space="0"/>
            </w:tcBorders>
            <w:noWrap w:val="0"/>
            <w:vAlign w:val="center"/>
          </w:tcPr>
          <w:p w14:paraId="36EF0658">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12.7(</w:t>
            </w:r>
            <w:r>
              <w:rPr>
                <w:rFonts w:hint="eastAsia" w:asciiTheme="majorEastAsia" w:hAnsiTheme="majorEastAsia" w:eastAsiaTheme="majorEastAsia" w:cstheme="majorEastAsia"/>
                <w:lang w:val="en-US" w:eastAsia="zh-CN"/>
              </w:rPr>
              <w:t>汉森</w:t>
            </w:r>
            <w:r>
              <w:rPr>
                <w:rFonts w:hint="eastAsia" w:asciiTheme="majorEastAsia" w:hAnsiTheme="majorEastAsia" w:eastAsiaTheme="majorEastAsia" w:cstheme="majorEastAsia"/>
              </w:rPr>
              <w:t>快速接头)</w:t>
            </w:r>
          </w:p>
        </w:tc>
      </w:tr>
      <w:tr w14:paraId="00775A2F">
        <w:tblPrEx>
          <w:tblCellMar>
            <w:top w:w="0" w:type="dxa"/>
            <w:left w:w="108" w:type="dxa"/>
            <w:bottom w:w="0" w:type="dxa"/>
            <w:right w:w="108" w:type="dxa"/>
          </w:tblCellMar>
        </w:tblPrEx>
        <w:trPr>
          <w:trHeight w:val="23" w:hRule="atLeast"/>
          <w:jc w:val="center"/>
        </w:trPr>
        <w:tc>
          <w:tcPr>
            <w:tcW w:w="3256" w:type="dxa"/>
            <w:tcBorders>
              <w:top w:val="single" w:color="000000" w:sz="4" w:space="0"/>
              <w:left w:val="single" w:color="000000" w:sz="4" w:space="0"/>
              <w:bottom w:val="single" w:color="000000" w:sz="4" w:space="0"/>
              <w:right w:val="single" w:color="000000" w:sz="4" w:space="0"/>
            </w:tcBorders>
            <w:noWrap w:val="0"/>
            <w:vAlign w:val="center"/>
          </w:tcPr>
          <w:p w14:paraId="3BA933DE">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进气口≥(mm)</w:t>
            </w:r>
          </w:p>
        </w:tc>
        <w:tc>
          <w:tcPr>
            <w:tcW w:w="4961" w:type="dxa"/>
            <w:gridSpan w:val="4"/>
            <w:tcBorders>
              <w:top w:val="single" w:color="000000" w:sz="4" w:space="0"/>
              <w:left w:val="single" w:color="000000" w:sz="4" w:space="0"/>
              <w:bottom w:val="single" w:color="000000" w:sz="4" w:space="0"/>
              <w:right w:val="single" w:color="000000" w:sz="4" w:space="0"/>
            </w:tcBorders>
            <w:noWrap w:val="0"/>
            <w:vAlign w:val="center"/>
          </w:tcPr>
          <w:p w14:paraId="75DE09C0">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6.3</w:t>
            </w:r>
          </w:p>
        </w:tc>
      </w:tr>
    </w:tbl>
    <w:p w14:paraId="45AAE5E5">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3CB8C981">
      <w:pPr>
        <w:rPr>
          <w:rFonts w:hint="eastAsia" w:asciiTheme="majorEastAsia" w:hAnsiTheme="majorEastAsia" w:eastAsiaTheme="majorEastAsia" w:cstheme="majorEastAsia"/>
        </w:rPr>
      </w:pPr>
    </w:p>
    <w:p w14:paraId="3F30C391">
      <w:pPr>
        <w:numPr>
          <w:ilvl w:val="0"/>
          <w:numId w:val="0"/>
        </w:numPr>
        <w:rPr>
          <w:rFonts w:hint="eastAsia" w:asciiTheme="majorEastAsia" w:hAnsiTheme="majorEastAsia" w:eastAsiaTheme="majorEastAsia" w:cstheme="majorEastAsia"/>
        </w:rPr>
      </w:pPr>
      <w:r>
        <w:rPr>
          <w:rFonts w:hint="eastAsia" w:asciiTheme="majorEastAsia" w:hAnsiTheme="majorEastAsia" w:eastAsiaTheme="majorEastAsia" w:cstheme="majorEastAsia"/>
          <w:kern w:val="2"/>
          <w:sz w:val="21"/>
          <w:szCs w:val="24"/>
          <w:lang w:val="en-US" w:eastAsia="zh-CN" w:bidi="ar-SA"/>
        </w:rPr>
        <w:t>5、</w:t>
      </w:r>
      <w:r>
        <w:rPr>
          <w:rFonts w:hint="eastAsia" w:asciiTheme="majorEastAsia" w:hAnsiTheme="majorEastAsia" w:eastAsiaTheme="majorEastAsia" w:cstheme="majorEastAsia"/>
        </w:rPr>
        <w:t xml:space="preserve">男科实验室耗材一批参数 </w:t>
      </w:r>
    </w:p>
    <w:p w14:paraId="0DF53E6D">
      <w:pPr>
        <w:numPr>
          <w:numId w:val="0"/>
        </w:numPr>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所投产品需在省标目录内</w:t>
      </w:r>
    </w:p>
    <w:tbl>
      <w:tblPr>
        <w:tblStyle w:val="4"/>
        <w:tblW w:w="9933"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9"/>
        <w:gridCol w:w="4884"/>
      </w:tblGrid>
      <w:tr w14:paraId="07CD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049" w:type="dxa"/>
            <w:vAlign w:val="center"/>
          </w:tcPr>
          <w:p w14:paraId="123698F7">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名称</w:t>
            </w:r>
          </w:p>
        </w:tc>
        <w:tc>
          <w:tcPr>
            <w:tcW w:w="4884" w:type="dxa"/>
            <w:vAlign w:val="center"/>
          </w:tcPr>
          <w:p w14:paraId="0090FC2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用途</w:t>
            </w:r>
          </w:p>
        </w:tc>
      </w:tr>
      <w:tr w14:paraId="0C5A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vAlign w:val="center"/>
          </w:tcPr>
          <w:p w14:paraId="244E09AB">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支原体分离培养药敏检测试剂盒</w:t>
            </w:r>
          </w:p>
        </w:tc>
        <w:tc>
          <w:tcPr>
            <w:tcW w:w="4884" w:type="dxa"/>
            <w:vAlign w:val="center"/>
          </w:tcPr>
          <w:p w14:paraId="27705BD2">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用于临床解脲脲原体和人型支原体的培养鉴定，</w:t>
            </w:r>
          </w:p>
          <w:p w14:paraId="47B1C32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半定量计数和药物敏感性实验</w:t>
            </w:r>
          </w:p>
        </w:tc>
      </w:tr>
      <w:tr w14:paraId="218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vAlign w:val="center"/>
          </w:tcPr>
          <w:p w14:paraId="3696833E">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精子顶体酶活性检测试剂盒（底物酶法）</w:t>
            </w:r>
          </w:p>
        </w:tc>
        <w:tc>
          <w:tcPr>
            <w:tcW w:w="4884" w:type="dxa"/>
            <w:vAlign w:val="center"/>
          </w:tcPr>
          <w:p w14:paraId="6C11F597">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用于精子顶体酶活性检测</w:t>
            </w:r>
          </w:p>
        </w:tc>
      </w:tr>
      <w:tr w14:paraId="7F8A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vAlign w:val="center"/>
          </w:tcPr>
          <w:p w14:paraId="383B51A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精子（细胞）形态学快速染色液(Diff-Quik法）</w:t>
            </w:r>
          </w:p>
        </w:tc>
        <w:tc>
          <w:tcPr>
            <w:tcW w:w="4884" w:type="dxa"/>
            <w:vAlign w:val="center"/>
          </w:tcPr>
          <w:p w14:paraId="46DDF4F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用于精子染色</w:t>
            </w:r>
          </w:p>
        </w:tc>
      </w:tr>
      <w:tr w14:paraId="0313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vAlign w:val="center"/>
          </w:tcPr>
          <w:p w14:paraId="5360CCD9">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人绒毛膜促性腺激素（HCG）检测试纸（胶体金法）</w:t>
            </w:r>
          </w:p>
        </w:tc>
        <w:tc>
          <w:tcPr>
            <w:tcW w:w="4884" w:type="dxa"/>
            <w:vAlign w:val="center"/>
          </w:tcPr>
          <w:p w14:paraId="7225EEA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用于门诊患者的早孕筛查</w:t>
            </w:r>
          </w:p>
        </w:tc>
      </w:tr>
      <w:tr w14:paraId="1AD5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9" w:type="dxa"/>
            <w:vAlign w:val="center"/>
          </w:tcPr>
          <w:p w14:paraId="42B092D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沙眼衣原体抗原检测试剂盒（胶体金法）</w:t>
            </w:r>
          </w:p>
        </w:tc>
        <w:tc>
          <w:tcPr>
            <w:tcW w:w="4884" w:type="dxa"/>
            <w:vAlign w:val="center"/>
          </w:tcPr>
          <w:p w14:paraId="2B1ECE8B">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用于检测女性宫颈和男性尿道中衣原体</w:t>
            </w:r>
          </w:p>
        </w:tc>
      </w:tr>
    </w:tbl>
    <w:p w14:paraId="5FDEA998">
      <w:pPr>
        <w:rPr>
          <w:rFonts w:hint="eastAsia" w:asciiTheme="majorEastAsia" w:hAnsiTheme="majorEastAsia" w:eastAsiaTheme="majorEastAsia" w:cstheme="majorEastAsia"/>
        </w:rPr>
      </w:pPr>
      <w:r>
        <w:rPr>
          <w:rFonts w:hint="eastAsia" w:asciiTheme="majorEastAsia" w:hAnsiTheme="majorEastAsia" w:eastAsiaTheme="majorEastAsia" w:cstheme="majorEastAsia"/>
          <w:b/>
          <w:bCs/>
        </w:rPr>
        <w:t>支原体分离培养药敏检测试剂盒</w:t>
      </w:r>
    </w:p>
    <w:p w14:paraId="1978009F">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解脲人型支原体分离培养药敏检测试剂盒应采用微生物检验法，具备分离培养、鉴定、计数、药敏于一体的功能。单独包装。操作简单，显色鲜明，对比明显。敏感性、特异性：对解脲脲原体标准株ATCC33175和人型支原体标准株ATCC23114分离培养符合率为100%，药敏符合率≥90%。重复性：对解脲脲原体标准株ATCC33175和人型支原体标准株ATCC23114分离培养重复性为100%，药敏重复性≥90%。</w:t>
      </w:r>
    </w:p>
    <w:p w14:paraId="4CCDBBDA">
      <w:pP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精子顶体酶活性检测试剂盒（底物酶法）</w:t>
      </w:r>
    </w:p>
    <w:p w14:paraId="4BCC7730">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适用于手工实验操作。精密度：批内精密度CV≤8%，批间精密度CV≤15%;特异性：3μmol/L酰胺酶干扰率不超过士15%;灵敏度：CV≤10%。</w:t>
      </w:r>
    </w:p>
    <w:p w14:paraId="00635ECC">
      <w:pP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精子（细胞）形态学快速染色液（Diff-Quik法）</w:t>
      </w:r>
    </w:p>
    <w:p w14:paraId="4197432F">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用于精液标本涂片的快速染色。可常温保存，性质稳定，保质期6个月以上。染色效果好，精子头体尾分别着色，其精子顶体区染成淡紫色，顶体后区染深紫色，中段与尾部染成淡蓝色或淡红色，背景色清晰，实验结果稳定。</w:t>
      </w:r>
    </w:p>
    <w:p w14:paraId="7810FD84">
      <w:pPr>
        <w:rPr>
          <w:rFonts w:hint="eastAsia" w:asciiTheme="majorEastAsia" w:hAnsiTheme="majorEastAsia" w:eastAsiaTheme="majorEastAsia" w:cstheme="majorEastAsia"/>
        </w:rPr>
      </w:pPr>
      <w:r>
        <w:rPr>
          <w:rFonts w:hint="eastAsia" w:asciiTheme="majorEastAsia" w:hAnsiTheme="majorEastAsia" w:eastAsiaTheme="majorEastAsia" w:cstheme="majorEastAsia"/>
          <w:b/>
          <w:bCs/>
        </w:rPr>
        <w:t>人绒毛膜促性腺激素（HCG）检测试纸（胶体金法）</w:t>
      </w:r>
    </w:p>
    <w:p w14:paraId="0944AC21">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方便于手工实验。重复性好，不同批次HCG试纸对同一标本显色一致。特异性高，抗干扰能力强。灵敏度高，最低检测下限不高于25U/L。</w:t>
      </w:r>
    </w:p>
    <w:p w14:paraId="1CF17EF3">
      <w:pPr>
        <w:numPr>
          <w:ilvl w:val="0"/>
          <w:numId w:val="0"/>
        </w:numP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沙眼衣原体抗原检测试剂盒（胶体金法）</w:t>
      </w:r>
    </w:p>
    <w:p w14:paraId="1F1570B5">
      <w:pP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检测样品：生殖道拭子</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临床应用：衣原体感染</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检测阈值：4x1000 IFU/ml</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检测原理：双抗体夹心法</w:t>
      </w:r>
      <w:r>
        <w:rPr>
          <w:rFonts w:hint="eastAsia" w:asciiTheme="majorEastAsia" w:hAnsiTheme="majorEastAsia" w:eastAsiaTheme="majorEastAsia" w:cstheme="majorEastAsia"/>
          <w:lang w:eastAsia="zh-CN"/>
        </w:rPr>
        <w:t>。</w:t>
      </w:r>
    </w:p>
    <w:p w14:paraId="647915CB">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436D3EB0">
      <w:pPr>
        <w:rPr>
          <w:rFonts w:hint="eastAsia" w:asciiTheme="majorEastAsia" w:hAnsiTheme="majorEastAsia" w:eastAsiaTheme="majorEastAsia" w:cstheme="majorEastAsia"/>
          <w:lang w:val="en-US" w:eastAsia="zh-CN"/>
        </w:rPr>
      </w:pPr>
    </w:p>
    <w:p w14:paraId="5755FEA1">
      <w:pPr>
        <w:numPr>
          <w:ilvl w:val="0"/>
          <w:numId w:val="0"/>
        </w:numPr>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2"/>
          <w:sz w:val="21"/>
          <w:szCs w:val="24"/>
          <w:lang w:val="en-US" w:eastAsia="zh-CN" w:bidi="ar-SA"/>
        </w:rPr>
        <w:t>6、</w:t>
      </w:r>
      <w:r>
        <w:rPr>
          <w:rFonts w:hint="eastAsia" w:asciiTheme="majorEastAsia" w:hAnsiTheme="majorEastAsia" w:eastAsiaTheme="majorEastAsia" w:cstheme="majorEastAsia"/>
          <w:lang w:val="en-US" w:eastAsia="zh-CN"/>
        </w:rPr>
        <w:t>免疫组化试剂一批（10种）参数</w:t>
      </w:r>
    </w:p>
    <w:p w14:paraId="660221E3">
      <w:pPr>
        <w:numPr>
          <w:numId w:val="0"/>
        </w:numPr>
        <w:ind w:left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w:t>
      </w:r>
    </w:p>
    <w:tbl>
      <w:tblPr>
        <w:tblStyle w:val="4"/>
        <w:tblW w:w="9932"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7"/>
        <w:gridCol w:w="5695"/>
      </w:tblGrid>
      <w:tr w14:paraId="432A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14:paraId="37972AC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名称</w:t>
            </w:r>
          </w:p>
        </w:tc>
        <w:tc>
          <w:tcPr>
            <w:tcW w:w="5695" w:type="dxa"/>
          </w:tcPr>
          <w:p w14:paraId="01C66682">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用途及要求</w:t>
            </w:r>
          </w:p>
        </w:tc>
      </w:tr>
      <w:tr w14:paraId="4ABE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71FA480E">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C3c抗体试剂（免疫组织化学）</w:t>
            </w:r>
          </w:p>
        </w:tc>
        <w:tc>
          <w:tcPr>
            <w:tcW w:w="5695" w:type="dxa"/>
          </w:tcPr>
          <w:p w14:paraId="68A26818">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1、新鲜组织免疫荧光抗体。2、按每毫升报价，规格报全。</w:t>
            </w:r>
          </w:p>
        </w:tc>
      </w:tr>
      <w:tr w14:paraId="2C16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6B4537EE">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C4c抗体试剂（免疫组织化学）</w:t>
            </w:r>
          </w:p>
        </w:tc>
        <w:tc>
          <w:tcPr>
            <w:tcW w:w="5695" w:type="dxa"/>
          </w:tcPr>
          <w:p w14:paraId="23C6652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1、新鲜组织免疫荧光抗体。2、按每毫升报价，规格报全。</w:t>
            </w:r>
          </w:p>
        </w:tc>
      </w:tr>
      <w:tr w14:paraId="7C59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480290D0">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C1q抗体试剂（免疫组织化学）</w:t>
            </w:r>
          </w:p>
        </w:tc>
        <w:tc>
          <w:tcPr>
            <w:tcW w:w="5695" w:type="dxa"/>
          </w:tcPr>
          <w:p w14:paraId="448500E7">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1、新鲜组织免疫荧光抗体。2、按每毫升报价，规格报全。</w:t>
            </w:r>
          </w:p>
        </w:tc>
      </w:tr>
      <w:tr w14:paraId="4537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2F1F12D3">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IgM抗体试剂（免疫组织化学）</w:t>
            </w:r>
          </w:p>
        </w:tc>
        <w:tc>
          <w:tcPr>
            <w:tcW w:w="5695" w:type="dxa"/>
          </w:tcPr>
          <w:p w14:paraId="088ED56F">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1、新鲜组织免疫荧光抗体。2、按每毫升报价，规格报全。</w:t>
            </w:r>
          </w:p>
        </w:tc>
      </w:tr>
      <w:tr w14:paraId="475A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3C64A8CA">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IgG抗体试剂（免疫组织化学）</w:t>
            </w:r>
          </w:p>
        </w:tc>
        <w:tc>
          <w:tcPr>
            <w:tcW w:w="5695" w:type="dxa"/>
          </w:tcPr>
          <w:p w14:paraId="2787D8F5">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1、新鲜组织免疫荧光抗体。2、按每毫升报价，规格报全。</w:t>
            </w:r>
          </w:p>
        </w:tc>
      </w:tr>
      <w:tr w14:paraId="25C9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1203F9C2">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IgA抗体试剂（免疫组织化学）</w:t>
            </w:r>
          </w:p>
        </w:tc>
        <w:tc>
          <w:tcPr>
            <w:tcW w:w="5695" w:type="dxa"/>
          </w:tcPr>
          <w:p w14:paraId="48554F53">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1、新鲜组织免疫荧光抗体。2、按每毫升报价，规格报全。</w:t>
            </w:r>
          </w:p>
        </w:tc>
      </w:tr>
      <w:tr w14:paraId="6E1B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2DEF588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DPC4抗体试剂（免疫组织化学法）</w:t>
            </w:r>
          </w:p>
        </w:tc>
        <w:tc>
          <w:tcPr>
            <w:tcW w:w="5695" w:type="dxa"/>
          </w:tcPr>
          <w:p w14:paraId="27421EEE">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1、用于免疫组化检测。2、按每毫升报价，规格报全。</w:t>
            </w:r>
          </w:p>
        </w:tc>
      </w:tr>
      <w:tr w14:paraId="4333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22D10227">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肺表面活性蛋白A （Surfactant Protein A ）</w:t>
            </w:r>
          </w:p>
          <w:p w14:paraId="382006CA">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抗体试剂（免疫组织化学法）</w:t>
            </w:r>
          </w:p>
        </w:tc>
        <w:tc>
          <w:tcPr>
            <w:tcW w:w="5695" w:type="dxa"/>
          </w:tcPr>
          <w:p w14:paraId="55E2EE34">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1、用于免疫组化检测。2、按每毫升报价，规格报全。</w:t>
            </w:r>
          </w:p>
        </w:tc>
      </w:tr>
      <w:tr w14:paraId="6BD7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31B917D0">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CD163抗体试剂（免疫组织化学）</w:t>
            </w:r>
          </w:p>
        </w:tc>
        <w:tc>
          <w:tcPr>
            <w:tcW w:w="5695" w:type="dxa"/>
          </w:tcPr>
          <w:p w14:paraId="0F9C2499">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1、用于免疫组化检测。2、按每毫升报价，规格报全。</w:t>
            </w:r>
          </w:p>
        </w:tc>
      </w:tr>
      <w:tr w14:paraId="2E8E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vAlign w:val="center"/>
          </w:tcPr>
          <w:p w14:paraId="21F3E830">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Collagen Type IV抗体试剂（免疫组织化学）</w:t>
            </w:r>
          </w:p>
        </w:tc>
        <w:tc>
          <w:tcPr>
            <w:tcW w:w="5695" w:type="dxa"/>
          </w:tcPr>
          <w:p w14:paraId="27737DC3">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1、用于免疫组化检测。2、按每毫升报价，规格报全。</w:t>
            </w:r>
          </w:p>
        </w:tc>
      </w:tr>
    </w:tbl>
    <w:p w14:paraId="478ED3F1">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18BCDD6C">
      <w:pPr>
        <w:rPr>
          <w:rFonts w:hint="eastAsia" w:asciiTheme="majorEastAsia" w:hAnsiTheme="majorEastAsia" w:eastAsiaTheme="majorEastAsia" w:cstheme="majorEastAsia"/>
          <w:lang w:val="en-US" w:eastAsia="zh-CN"/>
        </w:rPr>
      </w:pPr>
    </w:p>
    <w:p w14:paraId="3B8487AF">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全自动干式荧光免疫分析仪</w:t>
      </w:r>
      <w:r>
        <w:rPr>
          <w:rFonts w:hint="eastAsia" w:asciiTheme="majorEastAsia" w:hAnsiTheme="majorEastAsia" w:eastAsiaTheme="majorEastAsia" w:cstheme="majorEastAsia"/>
          <w:lang w:val="en-US" w:eastAsia="zh-CN"/>
        </w:rPr>
        <w:t>耗材一批参数</w:t>
      </w:r>
    </w:p>
    <w:p w14:paraId="21565BE8">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所投产品需在省标目录内。用于心脏功能检测评估。需匹配巴迪泰A5000PLUS</w:t>
      </w:r>
      <w:r>
        <w:rPr>
          <w:rFonts w:hint="eastAsia" w:asciiTheme="majorEastAsia" w:hAnsiTheme="majorEastAsia" w:eastAsiaTheme="majorEastAsia" w:cstheme="majorEastAsia"/>
        </w:rPr>
        <w:t>全自动干式荧光免疫分析仪</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可溶性生长刺激表达基因2蛋白检测试剂盒（免于荧光干式定量法）、心肌肌钙蛋白I检测试剂盒、N-端脑利钠肽前体检测试剂盒。</w:t>
      </w:r>
    </w:p>
    <w:p w14:paraId="71D5BDE7">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61CD15BD">
      <w:pPr>
        <w:rPr>
          <w:rFonts w:hint="eastAsia" w:asciiTheme="majorEastAsia" w:hAnsiTheme="majorEastAsia" w:eastAsiaTheme="majorEastAsia" w:cstheme="majorEastAsia"/>
          <w:lang w:val="en-US" w:eastAsia="zh-CN"/>
        </w:rPr>
      </w:pPr>
    </w:p>
    <w:p w14:paraId="470F7C45">
      <w:pPr>
        <w:rPr>
          <w:rFonts w:hint="eastAsia" w:asciiTheme="majorEastAsia" w:hAnsiTheme="majorEastAsia" w:eastAsiaTheme="majorEastAsia" w:cstheme="majorEastAsia"/>
          <w:lang w:val="en-US" w:eastAsia="zh-CN"/>
        </w:rPr>
      </w:pPr>
    </w:p>
    <w:p w14:paraId="04E74B33">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8、一次性脑电传感器参数 </w:t>
      </w:r>
    </w:p>
    <w:p w14:paraId="7E9507C7">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与BISX4TM监测模块使用，可无创监测患者脑电信号。成人单侧、儿童单侧、双侧，三种规格。匹配BISX4TM模块使用，可同时满足BIS双通道和BIS四通道模块，实现脑电信号实时采集监测与麻醉深度动态监测，用于测量患者脑电信号，保障病人麻醉术中安全。满足BIS系统运行过程中会对传感器进行自动检测、识别，并记录相关数据。传感器/电极连接BIS系统连接产生的信息能真实反映患者的临床状态经过验证，并具备相应文献和临床数据支持。一次性脑电传感器单侧为四个电极芯片、双侧为六个电极芯片。采用银-氯化银传感导线，确保脑电信号低损耗传输。提供交流阻抗、直流失调电压、偏置电流耐受度等参数。含有微针电极／传感器技术薄片，可有效降低角质层带来的高阻抗干扰，且无需用砂纸打磨表皮，准确采集脑电信号。电极芯片由PE白色泡沫、和柔性微针触针组成，不含乳胶。提供投标全型号样品。可提供BISX4TM监测模块的维护保养。</w:t>
      </w:r>
    </w:p>
    <w:p w14:paraId="5B0D5A88">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193ED8CC">
      <w:pPr>
        <w:rPr>
          <w:rFonts w:hint="eastAsia" w:asciiTheme="majorEastAsia" w:hAnsiTheme="majorEastAsia" w:eastAsiaTheme="majorEastAsia" w:cstheme="majorEastAsia"/>
          <w:lang w:val="en-US" w:eastAsia="zh-CN"/>
        </w:rPr>
      </w:pPr>
    </w:p>
    <w:p w14:paraId="0229CD87">
      <w:pPr>
        <w:rPr>
          <w:rFonts w:hint="eastAsia" w:asciiTheme="majorEastAsia" w:hAnsiTheme="majorEastAsia" w:eastAsiaTheme="majorEastAsia" w:cstheme="majorEastAsia"/>
          <w:lang w:val="en-US" w:eastAsia="zh-CN"/>
        </w:rPr>
      </w:pPr>
    </w:p>
    <w:p w14:paraId="3581B09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9、一次性使用内窥镜活体取样针参数</w:t>
      </w:r>
    </w:p>
    <w:p w14:paraId="0F12AC56">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所投产品需在省标目录内。用于内窥镜检查或治疗中的活检取样。取样针主要有内芯丝，针头，外管、三通、螺纹帽、手柄、抽吸器组成；针头规格（超薄壁）：19G、20G、22G，壁薄0.9mm、0.7mm ,针头长度:14mm,直径:1.8mm,有效长度:1200mm；一次性灭菌包装。</w:t>
      </w:r>
    </w:p>
    <w:p w14:paraId="35357EF8">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03A16E8A">
      <w:pPr>
        <w:rPr>
          <w:rFonts w:hint="eastAsia" w:asciiTheme="majorEastAsia" w:hAnsiTheme="majorEastAsia" w:eastAsiaTheme="majorEastAsia" w:cstheme="majorEastAsia"/>
          <w:lang w:val="en-US" w:eastAsia="zh-CN"/>
        </w:rPr>
      </w:pPr>
    </w:p>
    <w:p w14:paraId="36015864">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10、内窥镜超声吸引活检针参数</w:t>
      </w:r>
    </w:p>
    <w:p w14:paraId="7AD7EA8E">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对气管支气管黏膜层下和管腔外的病变进行超声引导下穿刺活检。材质：镍钛合金材质，双软胶手柄+弹簧按压锁定装置，可单手操作，操作轻便。尺寸：工作长度720-760mm，针最大伸出长度40mm，针头外径1.1mm，插入部最大外径2.0mm。19G，22G，25G三种规格。具有超强的兼容性。三爪针尖，针身激光雕刻花纹；镜下显影清晰，易定位。</w:t>
      </w:r>
      <w:r>
        <w:rPr>
          <w:rFonts w:hint="eastAsia" w:asciiTheme="majorEastAsia" w:hAnsiTheme="majorEastAsia" w:eastAsiaTheme="majorEastAsia" w:cstheme="majorEastAsia"/>
          <w:lang w:val="en-US" w:eastAsia="zh-CN"/>
        </w:rPr>
        <w:t>需匹配</w:t>
      </w:r>
      <w:r>
        <w:rPr>
          <w:rFonts w:hint="eastAsia" w:asciiTheme="majorEastAsia" w:hAnsiTheme="majorEastAsia" w:eastAsiaTheme="majorEastAsia" w:cstheme="majorEastAsia"/>
          <w:lang w:val="en-US" w:eastAsia="zh-CN"/>
        </w:rPr>
        <w:t>奥林巴斯EU-ME2超声内窥镜图像处理装置</w:t>
      </w:r>
      <w:r>
        <w:rPr>
          <w:rFonts w:hint="eastAsia" w:asciiTheme="majorEastAsia" w:hAnsiTheme="majorEastAsia" w:eastAsiaTheme="majorEastAsia" w:cstheme="majorEastAsia"/>
          <w:lang w:val="en-US" w:eastAsia="zh-CN"/>
        </w:rPr>
        <w:t>。</w:t>
      </w:r>
    </w:p>
    <w:p w14:paraId="40552C1B">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30290303">
      <w:pPr>
        <w:rPr>
          <w:rFonts w:hint="eastAsia" w:asciiTheme="majorEastAsia" w:hAnsiTheme="majorEastAsia" w:eastAsiaTheme="majorEastAsia" w:cstheme="majorEastAsia"/>
          <w:lang w:val="en-US" w:eastAsia="zh-CN"/>
        </w:rPr>
      </w:pPr>
    </w:p>
    <w:p w14:paraId="773E6F06">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11、多功能手术解剖切割器（可止血消融电极）参数</w:t>
      </w:r>
    </w:p>
    <w:p w14:paraId="4A87EC22">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内镜下脑出血或经鼻蝶垂体瘤微创手术精准止血操作。作为手术设备附件，与高频发生器/或射频发生器配合使用，或与吸引装置配套使用。供临床神经外科手术切割、消融及止血、冲/吸的应用。柔性合金</w:t>
      </w:r>
      <w:r>
        <w:rPr>
          <w:rFonts w:hint="eastAsia" w:asciiTheme="majorEastAsia" w:hAnsiTheme="majorEastAsia" w:eastAsiaTheme="majorEastAsia" w:cstheme="majorEastAsia"/>
          <w:lang w:val="en-US" w:eastAsia="zh-CN"/>
        </w:rPr>
        <w:t>材质</w:t>
      </w:r>
      <w:r>
        <w:rPr>
          <w:rFonts w:hint="eastAsia" w:asciiTheme="majorEastAsia" w:hAnsiTheme="majorEastAsia" w:eastAsiaTheme="majorEastAsia" w:cstheme="majorEastAsia"/>
          <w:lang w:val="en-US" w:eastAsia="zh-CN"/>
        </w:rPr>
        <w:t>，具有弯折角度360度； 手控负压吸引功能；电热合金固相纤维复合材料及其纳米涂层；具备月牙式刀头和夹式刀头；具备折弯、抓取、吸引、切割、凝血、消融多种的功能；电极刀头长度2-4mm，通过直径3.8mm，工作长度能满足120mm、160mm、200mm。</w:t>
      </w:r>
    </w:p>
    <w:p w14:paraId="7416B37B">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1BEC7A10">
      <w:pPr>
        <w:rPr>
          <w:rFonts w:hint="eastAsia" w:asciiTheme="majorEastAsia" w:hAnsiTheme="majorEastAsia" w:eastAsiaTheme="majorEastAsia" w:cstheme="majorEastAsia"/>
          <w:lang w:val="en-US" w:eastAsia="zh-CN"/>
        </w:rPr>
      </w:pPr>
    </w:p>
    <w:p w14:paraId="66FAB6D4">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12、球囊扩张导管参数</w:t>
      </w:r>
    </w:p>
    <w:p w14:paraId="11D04571">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动静脉血管扩张及危重症产妇临时血管球囊封堵。大直径,耐高压，超强非顺应性球囊，用于动静脉血管扩张。由一个经皮腔内血管成形术导管与一个组合球囊组成，带有铂铱合金标记带。球囊直径6-26mm,球囊长度：4cm-8cm。</w:t>
      </w:r>
    </w:p>
    <w:p w14:paraId="13F3F1EF">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68D12F76">
      <w:pPr>
        <w:rPr>
          <w:rFonts w:hint="eastAsia" w:asciiTheme="majorEastAsia" w:hAnsiTheme="majorEastAsia" w:eastAsiaTheme="majorEastAsia" w:cstheme="majorEastAsia"/>
          <w:lang w:val="en-US" w:eastAsia="zh-CN"/>
        </w:rPr>
      </w:pPr>
    </w:p>
    <w:p w14:paraId="777F9FEE">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13、肠道支架及输送系统参数</w:t>
      </w:r>
    </w:p>
    <w:p w14:paraId="0E2C16C5">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因恶性肿瘤造成的肠道狭窄或梗阻。单杯口及双杯口，支架直径22mm及25mm；支架长度有60mm-120mm；输送系统鞘管的直径≤10F；输送系统的有效工作长度1350mm及2300mm；由肠道支架和输送系统组成；具有良好的耐腐蚀性，击穿电压应不小于200mV。且输送系统的金属部件应无腐蚀迹象；支架采用符合(B24627-2009中规定的镍钛合金材料；压缩力：支架压缩至标称直径 50%时，22mm 支架的压缩力应不小于1N，25mm支架的压缩力应不小于 1.7N；支架由标称直径的50%扩张至80%时,22mm支架的扩张力应不小于0.8N，25mm支架的扩张力应不小于0.8N；支架直径的变化率应在[-10%,10%]区间内。肠道支架的相变温度(A)应不大于15℃。将支架纵向拉伸至100N后，支架应无断裂现象。</w:t>
      </w:r>
    </w:p>
    <w:p w14:paraId="11A219F3">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6B2E4900">
      <w:pPr>
        <w:rPr>
          <w:rFonts w:hint="eastAsia" w:asciiTheme="majorEastAsia" w:hAnsiTheme="majorEastAsia" w:eastAsiaTheme="majorEastAsia" w:cstheme="majorEastAsia"/>
          <w:lang w:val="en-US" w:eastAsia="zh-CN"/>
        </w:rPr>
      </w:pPr>
    </w:p>
    <w:p w14:paraId="7A5849B9">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14、甲醇参数</w:t>
      </w:r>
    </w:p>
    <w:p w14:paraId="65DCD008">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用于</w:t>
      </w:r>
      <w:r>
        <w:rPr>
          <w:rFonts w:hint="eastAsia" w:asciiTheme="majorEastAsia" w:hAnsiTheme="majorEastAsia" w:eastAsiaTheme="majorEastAsia" w:cstheme="majorEastAsia"/>
          <w:lang w:val="en-US" w:eastAsia="zh-CN"/>
        </w:rPr>
        <w:t>血液流水线推片机日常仪器保养。遗传室染色体检验收货制片固定。病理切片的固定。</w:t>
      </w:r>
    </w:p>
    <w:p w14:paraId="0C408DEF">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优级纯GR</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甲醇含量大于等于99.7%</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500ml。</w:t>
      </w:r>
    </w:p>
    <w:p w14:paraId="44767BF0">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538DDD85">
      <w:pPr>
        <w:rPr>
          <w:rFonts w:hint="eastAsia" w:asciiTheme="majorEastAsia" w:hAnsiTheme="majorEastAsia" w:eastAsiaTheme="majorEastAsia" w:cstheme="majorEastAsia"/>
          <w:lang w:val="en-US" w:eastAsia="zh-CN"/>
        </w:rPr>
      </w:pPr>
    </w:p>
    <w:p w14:paraId="35E45795">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15、细胞培养瓶参数</w:t>
      </w:r>
    </w:p>
    <w:p w14:paraId="4FBF26C1">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用于</w:t>
      </w:r>
      <w:r>
        <w:rPr>
          <w:rFonts w:hint="eastAsia" w:asciiTheme="majorEastAsia" w:hAnsiTheme="majorEastAsia" w:eastAsiaTheme="majorEastAsia" w:cstheme="majorEastAsia"/>
          <w:lang w:val="en-US" w:eastAsia="zh-CN"/>
        </w:rPr>
        <w:t>培养羊水细胞</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PVC材质</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200只/箱</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.直角斜颈（正方斜口）</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TC表面 PS（聚苯乙烯）</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25c㎡，50ml透气盖培养瓶</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培养基用量：5-7.5mL</w:t>
      </w:r>
      <w:r>
        <w:rPr>
          <w:rFonts w:hint="eastAsia" w:asciiTheme="majorEastAsia" w:hAnsiTheme="majorEastAsia" w:eastAsiaTheme="majorEastAsia" w:cstheme="majorEastAsia"/>
          <w:lang w:val="en-US" w:eastAsia="zh-CN"/>
        </w:rPr>
        <w:t>。</w:t>
      </w:r>
    </w:p>
    <w:p w14:paraId="12A312A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招标现场需提供样品</w:t>
      </w:r>
    </w:p>
    <w:p w14:paraId="71B713BE">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650A233E">
      <w:pPr>
        <w:rPr>
          <w:rFonts w:hint="eastAsia" w:asciiTheme="majorEastAsia" w:hAnsiTheme="majorEastAsia" w:eastAsiaTheme="majorEastAsia" w:cstheme="majorEastAsia"/>
          <w:lang w:val="en-US" w:eastAsia="zh-CN"/>
        </w:rPr>
      </w:pPr>
    </w:p>
    <w:p w14:paraId="231FCEF1">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16、盖玻片参数</w:t>
      </w:r>
    </w:p>
    <w:p w14:paraId="636ECB90">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用于显微镜观察时覆盖标本。玻璃材质</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24*50mm</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24*40mm</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适用于显微镜盖玻片，由超白浮法玻璃制成，颜色为白色透明，具</w:t>
      </w:r>
      <w:r>
        <w:rPr>
          <w:rFonts w:hint="eastAsia" w:asciiTheme="majorEastAsia" w:hAnsiTheme="majorEastAsia" w:eastAsiaTheme="majorEastAsia" w:cstheme="majorEastAsia"/>
          <w:lang w:val="en-US" w:eastAsia="zh-CN"/>
        </w:rPr>
        <w:t>备</w:t>
      </w:r>
      <w:r>
        <w:rPr>
          <w:rFonts w:hint="eastAsia" w:asciiTheme="majorEastAsia" w:hAnsiTheme="majorEastAsia" w:eastAsiaTheme="majorEastAsia" w:cstheme="majorEastAsia"/>
          <w:lang w:val="en-US" w:eastAsia="zh-CN"/>
        </w:rPr>
        <w:t>极佳的透光性和平整度，透光度≥90%，强化学耐久性。</w:t>
      </w:r>
    </w:p>
    <w:p w14:paraId="70CF78D1">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64FF8768">
      <w:pPr>
        <w:rPr>
          <w:rFonts w:hint="eastAsia" w:asciiTheme="majorEastAsia" w:hAnsiTheme="majorEastAsia" w:eastAsiaTheme="majorEastAsia" w:cstheme="majorEastAsia"/>
          <w:lang w:val="en-US" w:eastAsia="zh-CN"/>
        </w:rPr>
      </w:pPr>
    </w:p>
    <w:p w14:paraId="5A973F21">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17、ABD血型纸卡参数</w:t>
      </w:r>
    </w:p>
    <w:p w14:paraId="6DE833BE">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用于患者血型初检，献血员血型复检。纸质板状，木质原浆压制</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20人份/张</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lang w:val="en-US" w:eastAsia="zh-CN"/>
        </w:rPr>
        <w:t>纸质洁白光滑，凝集结果易于观察。每组检测具有ABD三组凹圆，凹圆直径≥12mm，并有编号和记录结果。凹坑的表面上有防渗透膜层。</w:t>
      </w:r>
    </w:p>
    <w:p w14:paraId="79AC58F5">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08E1922D">
      <w:pPr>
        <w:rPr>
          <w:rFonts w:hint="eastAsia" w:asciiTheme="majorEastAsia" w:hAnsiTheme="majorEastAsia" w:eastAsiaTheme="majorEastAsia" w:cstheme="majorEastAsia"/>
          <w:lang w:val="en-US" w:eastAsia="zh-CN"/>
        </w:rPr>
      </w:pPr>
    </w:p>
    <w:p w14:paraId="44E325CE">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18、抗Rh（IgM）血型定型试剂（单克隆抗体）参数</w:t>
      </w:r>
    </w:p>
    <w:p w14:paraId="1E55C564">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用于检测Rh血型系统抗原(C、c、E、e)检测,广泛应用于临床输血、血型鉴定和疑难交叉配血筛选。主要组成:抗C、抗c、抗E、抗e各1瓶。规格:5mL*4。2-8℃冷藏,避免冷冻。有效期:≥12个月。抗Rh（IgM）抗体应仅与目标Rh抗原(如C、c、E、e等)发生反应,不与其他血型抗原(如ABO系统抗原)发生交叉反应。确保抗体为单克隆抗体,具有高度特异性。能够检测到低浓度的Rh抗原,确保在临床样本中的准确性。抗Rh(IgM)抗体的效价≥1:64。</w:t>
      </w:r>
    </w:p>
    <w:p w14:paraId="008483CC">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005E0D74">
      <w:pPr>
        <w:rPr>
          <w:rFonts w:hint="eastAsia" w:asciiTheme="majorEastAsia" w:hAnsiTheme="majorEastAsia" w:eastAsiaTheme="majorEastAsia" w:cstheme="majorEastAsia"/>
          <w:lang w:val="en-US" w:eastAsia="zh-CN"/>
        </w:rPr>
      </w:pPr>
    </w:p>
    <w:p w14:paraId="1E5C54C7">
      <w:pP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19、脊髓神经刺激测试电极参数</w:t>
      </w:r>
    </w:p>
    <w:p w14:paraId="555514F7">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脊髓神经电刺激主要用于治疗慢性顽固性神经源性疼痛：(1)带状疱疹后神经痛。(2)残肢痛、幻肢痛和脊髓损伤后疼痛。(3)复杂性局部痛综合征。（4)交感神经功能失调和周围血管性病变引起的顽固性疼痛。(5)范围较大的肩背痛、腰背痛和周围神经性疼痛。(6)臂丛神经撕脱伤后疼痛、腰丛神经撕脱伤后疼痛。规格：可放置于硬膜外腔，包括电极导线，导丝，针，钢丝。材质：导线、电极、穿刺针（不锈钢)。需配备一次性无菌体外神经刺激器。兼容多种程控模式：包括低频刺激模式、高频刺激模式、DTM 兼频刺激模式。一次性无菌独立包装。</w:t>
      </w:r>
    </w:p>
    <w:p w14:paraId="04011A61">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招标现场需提供样品</w:t>
      </w:r>
    </w:p>
    <w:p w14:paraId="366C297C">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招标现场需提供样品</w:t>
      </w:r>
    </w:p>
    <w:p w14:paraId="4F7F30B5">
      <w:pPr>
        <w:rPr>
          <w:rFonts w:hint="eastAsia" w:asciiTheme="majorEastAsia" w:hAnsiTheme="majorEastAsia" w:eastAsiaTheme="majorEastAsia" w:cstheme="majorEastAsia"/>
          <w:lang w:val="en-US" w:eastAsia="zh-CN"/>
        </w:rPr>
      </w:pPr>
    </w:p>
    <w:p w14:paraId="36061B9F">
      <w:pP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20、肝素涂层血管内覆膜支架系统参数</w:t>
      </w:r>
    </w:p>
    <w:p w14:paraId="1FF53557">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所投产品需在省标目录内。</w:t>
      </w:r>
      <w:bookmarkStart w:id="0" w:name="_GoBack"/>
      <w:bookmarkEnd w:id="0"/>
      <w:r>
        <w:rPr>
          <w:rFonts w:hint="eastAsia" w:asciiTheme="majorEastAsia" w:hAnsiTheme="majorEastAsia" w:eastAsiaTheme="majorEastAsia" w:cstheme="majorEastAsia"/>
          <w:lang w:val="en-US" w:eastAsia="zh-CN"/>
        </w:rPr>
        <w:t>用于治疗血管直径参考范围4.0-7.5mm股浅动脉病变和治疗血管直径参考范围4.0-12mm髂动脉病变。规格：35系统：直径：5、6、7、8mm；长度：2.5、5、7.5、10、15cm；35系统：直径：9、10、11、13mm；长度：5、7.5、10、15cm；；18系统：直径：5、6、7、8mm；长度：2.5、5、7.5、10、15cm。EPTFE膜材质，钴铬合金骨架；直径5~13mm，长度2.5cm、5cm、7.5cm、10cm、15cm。CBAS肝素表面涂层。输送系统0.035英寸和0.018英寸，长度120cm。</w:t>
      </w:r>
    </w:p>
    <w:p w14:paraId="654E6CD9">
      <w:pPr>
        <w:rPr>
          <w:rFonts w:hint="eastAsia" w:asciiTheme="majorEastAsia" w:hAnsiTheme="majorEastAsia" w:eastAsiaTheme="majorEastAsia" w:cstheme="maj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KW">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11F3"/>
    <w:rsid w:val="015F0C0F"/>
    <w:rsid w:val="05195465"/>
    <w:rsid w:val="23CE36C1"/>
    <w:rsid w:val="3D072AC6"/>
    <w:rsid w:val="42492991"/>
    <w:rsid w:val="46982163"/>
    <w:rsid w:val="5E5C6B7F"/>
    <w:rsid w:val="5E82082E"/>
    <w:rsid w:val="6C2F5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default" w:ascii="Arial" w:hAnsi="Arial" w:cs="Arial"/>
      <w:color w:val="417FF9"/>
      <w:sz w:val="20"/>
      <w:szCs w:val="20"/>
      <w:u w:val="none"/>
    </w:rPr>
  </w:style>
  <w:style w:type="character" w:customStyle="1" w:styleId="7">
    <w:name w:val="font31"/>
    <w:basedOn w:val="5"/>
    <w:qFormat/>
    <w:uiPriority w:val="0"/>
    <w:rPr>
      <w:rFonts w:ascii="汉仪书宋二KW" w:hAnsi="汉仪书宋二KW" w:eastAsia="汉仪书宋二KW" w:cs="汉仪书宋二KW"/>
      <w:color w:val="3366FF"/>
      <w:sz w:val="20"/>
      <w:szCs w:val="20"/>
      <w:u w:val="none"/>
    </w:rPr>
  </w:style>
  <w:style w:type="character" w:customStyle="1" w:styleId="8">
    <w:name w:val="样式3-附表格1"/>
    <w:basedOn w:val="5"/>
    <w:autoRedefine/>
    <w:qFormat/>
    <w:uiPriority w:val="1"/>
    <w:rPr>
      <w:rFonts w:ascii="Times New Roman" w:hAnsi="Times New Roman" w:eastAsia="楷体_GB2312" w:cs="Times New Roman"/>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939</Words>
  <Characters>1118</Characters>
  <Lines>0</Lines>
  <Paragraphs>0</Paragraphs>
  <TotalTime>6</TotalTime>
  <ScaleCrop>false</ScaleCrop>
  <LinksUpToDate>false</LinksUpToDate>
  <CharactersWithSpaces>1119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2023-03-13T05:54:00Z</dcterms:created>
  <dc:creator>Administrator</dc:creator>
  <cp:lastModifiedBy>pH</cp:lastModifiedBy>
  <dcterms:modified xsi:type="dcterms:W3CDTF">2026-03-22T19:41:40Z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6D1C2CD1343346D1B661F62804D6F60C_13</vt:lpwstr>
  </property>
  <property fmtid="{D5CDD505-2E9C-101B-9397-08002B2CF9AE}" pid="4" name="KSOTemplateDocerSaveRecord">
    <vt:lpwstr>eyJoZGlkIjoiNmI3NWU2ZDk4Nzg0OWJhZWNhYmJjMWE0ODcxOWYyOTkiLCJ1c2VySWQiOiIxMjE3NTg2MjUwIn0=</vt:lpwstr>
  </property>
</Properties>
</file>