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183D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1、超声治疗固定贴（医用超声耦合贴片）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参数</w:t>
      </w:r>
    </w:p>
    <w:p w14:paraId="7C0EE6CD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所投产品需在省标目录内。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用于超声检测、诊断与治疗操作中使用。尺寸：贴片80mm*80mm，凝胶片直径41.5mm，允差土10%。形状：方形。外观：无色或浅色透明状，无不溶物，外观平整光洁，修边整齐。由水基凝胶块及其外包装组成，非无菌产品。需匹配源康鑫YKX-CA01型超声导入仪使用。耗材单独包装，无漏气，无漏液。保质期：≥2年。医用超声耦合贴片pH在5.5~8范围内。声速（35℃）：医用超声耦合贴片声速量值在1520m/s~1620m/s范围内。声特性阻抗（35℃）：医用超声耦合贴片声特性阻抗量值在 1.5x 106Pa·s/m~1.7x106Pa·s/m。声衰减（35℃）：医用超声耦合贴片声衰减≤0.1dB/(cm·MHz)。黏度：医用超声耦合贴片黏度（25℃)≥15Pa·s</w:t>
      </w:r>
    </w:p>
    <w:p w14:paraId="34B7EED4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351BBDF9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6CB7C08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2、超声隔离透声膜参数</w:t>
      </w:r>
    </w:p>
    <w:p w14:paraId="4786ED55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所投产品需在省标目录内。用于超声类治疗仪配套，安装于治疗头透声窗上，用于完整皮肤，防止患者间的交叉感染，一次性使用。长度:200mm、宽度:52mm、厚度≥0.06mm。具有二类医疗器械注册证。乳胶材质，防过敏。一次性无菌独立包装。圆头（前端）增厚处理。含油（适量）。开口端应有卷边。 </w:t>
      </w:r>
    </w:p>
    <w:p w14:paraId="654C22E2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074AB3BC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9AF90F1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3、医用纱布块（无菌）参数</w:t>
      </w:r>
    </w:p>
    <w:p w14:paraId="4AC098B5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投产品需在省标目录内。用于患者面部、手、脚及儿童烧伤创面换药时用。24cm*32cm。组成及性能表面应洁净、平整，不得有折皱、破洞、异味等缺陷。折叠平整，无毛边外漏现象。产品原材料医用脱脂棉纱布应符合YY0331-2002的标准，产品符合医用外科纱布敷料YY0594-2006的标准。</w:t>
      </w:r>
    </w:p>
    <w:p w14:paraId="7D7BA281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674F8254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63181C4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4、心肌标志物质控品参数</w:t>
      </w:r>
    </w:p>
    <w:p w14:paraId="50603C1D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投产品需在省标目录内。用于医学检验科贝克曼和罗氏化学发光免疫分析仪上肌钙蛋白I、CK-MB、BNP和肌红蛋白项目的每日室内质控。其包含质控项目至少应包括肌钙蛋白I、CK-MB、BNP和肌红蛋白。所有质控项目至少应包含两个水平的质控品，涵盖正常水平和异常水平。质控品不限定使用设备和试剂或适用于本院现有贝克曼AU5800全自动生化分析仪、罗氏E801化学发光免疫分析仪设备试剂。</w:t>
      </w:r>
    </w:p>
    <w:p w14:paraId="3A935D52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6A9A7B47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51258B7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5、电极传感器参数</w:t>
      </w:r>
    </w:p>
    <w:p w14:paraId="70A05475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所投产品需在省标目录内。用于神经传导速度测量仪，用于测量腓肠神经传导速度和感觉神经动作电位( SNAP ）的振幅，作为糖尿病周围神经病变的诊断手段。需匹配纽诺麦斯NC-stat DPNCh神经传导速度测量仪。材质：聚脂薄膜，表面带有凝胶。尺寸：121.9mm×37.6mm。单元间阻抗：＞5MΩ。DC阻抗：≤100Ω。</w:t>
      </w:r>
    </w:p>
    <w:p w14:paraId="55A1A0AE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04492A7F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72A9990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腹主动脉覆膜血管内支架系统参数</w:t>
      </w:r>
    </w:p>
    <w:p w14:paraId="223B04C8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所投产品需在省标目录内。用于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治疗肾下腹主动脉瘤或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主髂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动脉瘤介入手术治疗。范围：具有足够的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动脉/股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动脉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通路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肾下主动脉治疗直径在19-32mm范围之内，主动脉颈长度至少为 15mm。经股动脉导入，输送系统具有可调控机制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可多次定位。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支架不带裸冠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肾下锚定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输送器外径小于等于18Fr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支架金属材质为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镍钛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记忆合金材料，可以适应3.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T以下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MRI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检查：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覆膜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材质为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聚四氟乙烯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（EPTFE）材料。支架直径型号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齐全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主体近端直径及延长段近远端直径在10-36mm范围内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。支架主体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覆膜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部分长度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范围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为：120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-180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。治疗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范围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能满足于肾下主动脉直径19-32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髂动脉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直径8-25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主动脉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以及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主髂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动脉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患者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。能够满足治疗肾下主动脉成角大于等于60度，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近端瘤颈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长度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大于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等于15mm。</w:t>
      </w:r>
    </w:p>
    <w:p w14:paraId="34B7BE72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050E6688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8EB22AB">
      <w:pP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医用棉球、棉签一批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参数</w:t>
      </w:r>
    </w:p>
    <w:p w14:paraId="102B7C85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所投产品需在省标目录内。</w:t>
      </w:r>
    </w:p>
    <w:p w14:paraId="737126F0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医用棉签</w:t>
      </w:r>
    </w:p>
    <w:p w14:paraId="531DC1FA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用于医疗环境中的伤口处理，皮肤消毒，采样，涂抹药膏等用途。规格：8CM*20/12CM*30/20CM*10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棉头为100%医用级（符合中华人民共和国药典标准）脱脂棉且缠绕紧实不易脱落。棉棒体为木棒且打磨光滑不易折断。颜色为天然白色。要求无菌达标。明确标注为一次性使用。符合YY/T0816.1医用棉签通用要求。符合GB15979对微生物指标的要求。符合GB/T19633最终灭菌医疗器械的包装。符合医疗器械注册/备案产品技术要求。</w:t>
      </w:r>
    </w:p>
    <w:p w14:paraId="3BCB7484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医用石蜡棉球</w:t>
      </w:r>
    </w:p>
    <w:p w14:paraId="1119E5A5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用于气管插管、纤维支气管镜、硅胶导尿管等医疗器械的表面润滑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石蜡棉球应无霉斑、异味、杂物、污渍缺陷。石蜡棉球小包装封口应严密、无渗漏，拆封后，棉球确保石蜡油充盈饱和状态。石蜡棉球经辐照灭菌保证无菌状态。</w:t>
      </w:r>
    </w:p>
    <w:p w14:paraId="44EB559C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医用碘伏棉球</w:t>
      </w:r>
    </w:p>
    <w:p w14:paraId="198800A4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用于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消毒灭菌。范围：注射及输液前皮肤消毒；伤口周围皮肤消毒；手术前消毒；侵入性操作前消毒；粘膜（会阴、口腔）消毒。单粒棉球克重需明确，0.5g/粒（中号），误差范围≤±0.05g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包装规格：内包装：5粒/包（独立灭菌铝箔封装）；碘浓度：有效碘含量需在5g/L~10g/L范围内，并注明检测依据（如《中国药典》）。材质要求：棉球：100%医用脱脂棉，无荧光增白剂，吸水率≥95%；消毒液：碘伏溶液需符合YY/T 0802《医用消毒剂》标准，无酒精添加。必须经环氧乙烷或辐照灭菌，提供无菌检验报告。生物相容性：需通过皮肤刺激性、致敏性测试。   </w:t>
      </w:r>
    </w:p>
    <w:p w14:paraId="18678A82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医用酒精棉球</w:t>
      </w:r>
    </w:p>
    <w:p w14:paraId="6327970D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用于医疗场景消毒杀菌，如手术部位、注射部位、伤口处理前清洁，以及医疗器械表面消毒，保障医疗操作安全无菌。棉球整体呈均匀的白色，表面光滑质地柔软且富有弹性，触感舒适。棉球规格：每包包含5粒独立包装的棉球，独立包装采用医用级密封材料。棉球材质：选用优质脱脂棉作为棉球主体材料。酒精成分：酒精为符合国家药典标准的医用乙醇，浓度精确控制在 75%±5%。每批次产品均需经过严格的无菌检测，细菌总数、霉菌和酵母菌总数应符合相关医用标准要求，且不得检出金黄色葡萄球菌、铜绿假单胞菌、溶血性链球菌等致病菌。产品的微生物限度需满足细菌总数≤100cfu/g，霉菌和酵母菌总数≤10cfu/g。：酒精中的甲醇含量应符合国家药典规定，不得超过 0.3g/100ml。产品的酸碱度（pH 值）应控制在6.0-7.0内，最大限度地减少对皮肤造成刺激。</w:t>
      </w:r>
    </w:p>
    <w:p w14:paraId="4312EEB3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0733A085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8EAF0E8">
      <w:pP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电子体温计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参数</w:t>
      </w:r>
    </w:p>
    <w:p w14:paraId="2C2D0FEE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用于医院病人体温测量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电子体温计可适用于腋温、肛温、口温测量。适用于成人、儿童、老人。测量温度范围32℃-42℃，精度：±0.1℃防水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可清洗消毒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测试时间≤20秒液晶显示、温度数值清晰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锂电池供应电源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带蜂鸣提示音，有收纳盒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产品使用次数≥5万次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 w14:paraId="2F4948C7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招标现场需提供样品</w:t>
      </w:r>
    </w:p>
    <w:p w14:paraId="00CA426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DJiMzhmYmViYjQ1NmQ3ZDIxMjI4ZmUzMGJjNjQifQ=="/>
  </w:docVars>
  <w:rsids>
    <w:rsidRoot w:val="00000000"/>
    <w:rsid w:val="05516DEB"/>
    <w:rsid w:val="05860A21"/>
    <w:rsid w:val="065B2C15"/>
    <w:rsid w:val="072D30CC"/>
    <w:rsid w:val="09640674"/>
    <w:rsid w:val="0DCE1532"/>
    <w:rsid w:val="10C249F1"/>
    <w:rsid w:val="1249596F"/>
    <w:rsid w:val="135E27A0"/>
    <w:rsid w:val="15183FBA"/>
    <w:rsid w:val="153B0F2C"/>
    <w:rsid w:val="1E405C30"/>
    <w:rsid w:val="20F46F66"/>
    <w:rsid w:val="235C138F"/>
    <w:rsid w:val="25CD5B18"/>
    <w:rsid w:val="25E97728"/>
    <w:rsid w:val="288F4486"/>
    <w:rsid w:val="2DF76AF2"/>
    <w:rsid w:val="2E6240C7"/>
    <w:rsid w:val="2FD4527D"/>
    <w:rsid w:val="302E409A"/>
    <w:rsid w:val="33B45886"/>
    <w:rsid w:val="34311614"/>
    <w:rsid w:val="3A167A0E"/>
    <w:rsid w:val="3BE279E0"/>
    <w:rsid w:val="3C4D4FB6"/>
    <w:rsid w:val="3C711F27"/>
    <w:rsid w:val="407374A1"/>
    <w:rsid w:val="40CD62BE"/>
    <w:rsid w:val="42441B68"/>
    <w:rsid w:val="47963327"/>
    <w:rsid w:val="4C9303BD"/>
    <w:rsid w:val="50BE4F9D"/>
    <w:rsid w:val="55BB2033"/>
    <w:rsid w:val="570A6278"/>
    <w:rsid w:val="5B0C37F3"/>
    <w:rsid w:val="5D657148"/>
    <w:rsid w:val="64664C20"/>
    <w:rsid w:val="66D66AC5"/>
    <w:rsid w:val="6A4B301A"/>
    <w:rsid w:val="6B5712EE"/>
    <w:rsid w:val="6DF93E6B"/>
    <w:rsid w:val="6EEE1293"/>
    <w:rsid w:val="6F5A6869"/>
    <w:rsid w:val="6FB35685"/>
    <w:rsid w:val="701A0567"/>
    <w:rsid w:val="711E01C1"/>
    <w:rsid w:val="71A325C9"/>
    <w:rsid w:val="72206357"/>
    <w:rsid w:val="7B797785"/>
    <w:rsid w:val="7F10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3">
    <w:name w:val="annotation reference"/>
    <w:basedOn w:val="1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semiHidden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7">
    <w:name w:val="ql-font-songti"/>
    <w:basedOn w:val="10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0"/>
    <w:link w:val="6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字符"/>
    <w:basedOn w:val="10"/>
    <w:link w:val="5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4950</Words>
  <Characters>5589</Characters>
  <Lines>0</Lines>
  <Paragraphs>0</Paragraphs>
  <TotalTime>2</TotalTime>
  <ScaleCrop>false</ScaleCrop>
  <LinksUpToDate>false</LinksUpToDate>
  <CharactersWithSpaces>5640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2026-04-15T07:44:00Z</dcterms:created>
  <dc:creator>平平淡淡</dc:creator>
  <cp:lastModifiedBy>pH</cp:lastModifiedBy>
  <dcterms:modified xsi:type="dcterms:W3CDTF">2026-05-24T20:25:02Z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82B27ECB9A5D4A5CB523851EA2FED4CE_13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