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58DC9">
      <w:pPr>
        <w:keepNext w:val="0"/>
        <w:keepLines w:val="0"/>
        <w:pageBreakBefore w:val="0"/>
        <w:widowControl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控制价：6万元。</w:t>
      </w:r>
    </w:p>
    <w:p w14:paraId="7C9ED493">
      <w:pPr>
        <w:keepNext w:val="0"/>
        <w:keepLines w:val="0"/>
        <w:pageBreakBefore w:val="0"/>
        <w:widowControl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1、网络信息监测。（1）实现7*24小时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监测相关网络舆情信息。即时抓取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所需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舆情信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息，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自动过滤无效信息，并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经过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人工二次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判断后，分拣关联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度高的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敏感舆情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信息进行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推送。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2）满足对数据监控方案参数的个性化设置，灵活设置预警接收的时间段、接收频率、关键字方案组合、预警接收人等。关键词字数不限。信息预警平台账号不少于3个，并可同时登录。（3）实现对具备对境内主流新闻网站、论坛、贴吧、电子报、微博、博客、微信公众账号、小视频等互联网信息全面精准监测和数据采集，并可根据用户需求对采集网站进行添加。（4）支持对监测到的微博及新闻类型的信息进行一键溯源，便于快速找到信息源头。（5）采用数据自动推送技术在热点事件第一爆发点以短信、微信、钉钉、邮件、移动客户端推送、web弹窗等方式对预警接收人提供预警，并可形成可视化图表（包括关注度走势、来源、情感分布、媒体关注度）（6）可实现全网舆情事件分析报告生成，分析报告包含舆情事件概述、事件溯源、走势分析、媒体分布、数据类型统计、境内外分布、情感分布、媒体活跃度、地域分布、关键词云、热门信息、热点网民、传播途径、相关词、网民观点聚类分析等多种分析结果。预警方式：微信推送和电话报送。</w:t>
      </w:r>
    </w:p>
    <w:p w14:paraId="27B7C3BA">
      <w:pPr>
        <w:keepNext w:val="0"/>
        <w:keepLines w:val="0"/>
        <w:pageBreakBefore w:val="0"/>
        <w:widowControl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2、网络视频监测。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（1）实现短视频、视频频道、视频网站等视频数据采集量已覆盖百亿条，日均采集视频量和日均采集视频评论量均超千万条。（之前有错误，现已修改）</w:t>
      </w:r>
    </w:p>
    <w:p w14:paraId="47E2DEDB">
      <w:pPr>
        <w:keepNext w:val="0"/>
        <w:keepLines w:val="0"/>
        <w:pageBreakBefore w:val="0"/>
        <w:widowControl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center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2）可实现全量视频识别，非抽帧识别。识别类别包括但不限于：字幕识别、音频识别、背景识别、标签识别、封面识别、logo识别、场景识别。（3）支持以图搜图，专题（方案）灵活设置，快速配置关键词，以及地域定向、账号定向、网站定向等不同类型的信源定向监测。（4）支持关键词模糊搜索、精确搜索以及支持按全文，按标题和按作者的多种搜索方式，支持字幕、音频、背景、封面、昵称、标题、内容、定位命中多种方式检索。（5）可实现100天内自定义监测，视频数据线上回溯不低于18个月。（6）支持监测信息实时推送，内容包括：视频封面、用户头像、作者、视频摘要、信息属性、视频来源、相似文章数、涉及词以及发布时间，关键词高亮提醒。并实现监测信息实时导出数据导出。（7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支持以图搜视频：可通过输入原始图片链接或者上传原图，设定图片相似度和图片发布时间，即可追踪查询相似图片/视频发布信息，日图片识别量大于1亿+。</w:t>
      </w:r>
    </w:p>
    <w:p w14:paraId="3EB14353">
      <w:pPr>
        <w:keepNext w:val="0"/>
        <w:keepLines w:val="0"/>
        <w:pageBreakBefore w:val="0"/>
        <w:widowControl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3、网络信息报告、服务期内，供应商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需根据采购方实际需求提供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专报、月报或年报。内容包含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态势分析、媒体态度、网民观点、应对处置建议、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风险分析以及医疗行业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内参等。</w:t>
      </w:r>
    </w:p>
    <w:p w14:paraId="1920C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、舆论引导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为加强对网络和媒体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的引导处置，强化正面宣传为主、正确的宣传引导舆论工作方针，预防、化解负面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危机，为正常工作开展提供良好舆论环境，开展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导控服务工作。在采购方出现重大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时，供应商应出具处置建议，并指导和协助采购方开展网络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引导工作，化解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危机。 </w:t>
      </w:r>
    </w:p>
    <w:p w14:paraId="1E292E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培训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供应商需具有邀请国内知名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专家或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专业人员对采购方人员进行行业定制化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培训的能力，帮助采购方实施高质量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培训工作。培训内容包括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危机处置和媒介素养提升等培训内容。</w:t>
      </w:r>
    </w:p>
    <w:p w14:paraId="1F9D5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、服务团队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为贴近用户日常工作，便利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工作的顺利进行，供应商应配备不低于3人的本地专业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服务团队，协助采购方高效快速地处置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事件。团队成员必须具有3 年及以上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处置经验，并保证服务期内的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监测服务质量。</w:t>
      </w:r>
    </w:p>
    <w:p w14:paraId="40A10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、服务期限：1 年。 </w:t>
      </w:r>
    </w:p>
    <w:p w14:paraId="4AC48B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移动客户端：</w:t>
      </w:r>
    </w:p>
    <w:p w14:paraId="3C9AB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1.提供与系统对接的移动终端（手机、平板电脑）应用，WEB端与移动APP共用一个账号，支持工作人员出差等移动办公的要，支持安卓、苹果等主流手机、平板电脑操作系统。</w:t>
      </w:r>
    </w:p>
    <w:p w14:paraId="6DC44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2.可在移动客户端上完成关键字方案设置、监测信息查看、预警设置、检索等基本功能。</w:t>
      </w:r>
    </w:p>
    <w:p w14:paraId="056B7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3.客户端上可接收由编辑处理后发送的舆情内容，推送内容可按用户预先设定的分组，显示给特定用户。</w:t>
      </w:r>
    </w:p>
    <w:p w14:paraId="72E2E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客户端可将用户账号和手机串号绑定，保证信息安全。</w:t>
      </w:r>
    </w:p>
    <w:p w14:paraId="3EE453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一键取证功能：支持快速截图取证，可对抖音、快手、小红书、今日头条、微博等平台内容进行一键操作，系统自动生成包含关键信息的截图，作为电子证据保存，对用户发表的网络内容进行即时存证，便于后续追溯或作为凭证。</w:t>
      </w:r>
    </w:p>
    <w:p w14:paraId="55539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基础要求：舆情系统软件著作权，同类业绩证明，高新技术企业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97322"/>
    <w:rsid w:val="0DC44067"/>
    <w:rsid w:val="2A5B43EA"/>
    <w:rsid w:val="2CF33A75"/>
    <w:rsid w:val="30597A73"/>
    <w:rsid w:val="30C82816"/>
    <w:rsid w:val="3BFA097C"/>
    <w:rsid w:val="3E0F4D45"/>
    <w:rsid w:val="487E536F"/>
    <w:rsid w:val="4E04412C"/>
    <w:rsid w:val="577D33E3"/>
    <w:rsid w:val="5AAF422B"/>
    <w:rsid w:val="5DF87773"/>
    <w:rsid w:val="7E6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1784</Words>
  <Characters>1802</Characters>
  <Lines>0</Lines>
  <Paragraphs>0</Paragraphs>
  <TotalTime>47</TotalTime>
  <ScaleCrop>false</ScaleCrop>
  <LinksUpToDate>false</LinksUpToDate>
  <CharactersWithSpaces>1806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2026-05-22T06:42:00Z</dcterms:created>
  <dc:creator>lenovo</dc:creator>
  <cp:lastModifiedBy>pH</cp:lastModifiedBy>
  <dcterms:modified xsi:type="dcterms:W3CDTF">2026-05-31T18:24:57Z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eyJoZGlkIjoiNmI3NWU2ZDk4Nzg0OWJhZWNhYmJjMWE0ODcxOWYyOTkiLCJ1c2VySWQiOiIxMjE3NTg2MjUwIn0=</vt:lpwstr>
  </property>
  <property fmtid="{D5CDD505-2E9C-101B-9397-08002B2CF9AE}" pid="4" name="ICV">
    <vt:lpwstr>3A663D03CDBE4CDDA2C1C3B9534A3BD5_13</vt:lpwstr>
  </property>
</Properties>
</file>