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4F5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医用几丁糖（关节腔内注射用）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参数</w:t>
      </w:r>
    </w:p>
    <w:p w14:paraId="4C73064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所投产品需在省标目录内。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用于防治外伤性或退变性骨关节炎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。规格：1ml。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  <w:t>主要成分医用几丁糖。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</w:rPr>
        <w:t>浓度为12mg/mL。动力粘度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  <w:t>≥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</w:rPr>
        <w:t>300mPa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  <w:t>·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</w:rPr>
        <w:t>s;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8"/>
          <w:szCs w:val="28"/>
          <w:highlight w:val="none"/>
        </w:rPr>
        <w:t>脱乙酰度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  <w:t>≤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8"/>
          <w:szCs w:val="28"/>
          <w:highlight w:val="none"/>
        </w:rPr>
        <w:t>25%，重均分子量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  <w:t>≥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8"/>
          <w:szCs w:val="28"/>
          <w:highlight w:val="none"/>
        </w:rPr>
        <w:t>50万道尔顿。</w:t>
      </w:r>
    </w:p>
    <w:p w14:paraId="4E810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招标现场需提供样品</w:t>
      </w:r>
    </w:p>
    <w:p w14:paraId="7B3330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</w:p>
    <w:p w14:paraId="1496BFE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、一次性塑料采血袋参数</w:t>
      </w:r>
    </w:p>
    <w:p w14:paraId="058479C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所投产品需在省标目录内。用于开展储存式自体输血技术，储存全血或单采红细胞，可有效保障患者用血安全、规避异体输血风险。基本结构：由采血针、采血管、袋体、输血插口、阻塞件、悬挂口、保存液（添加液）、血袋标识等组成。无菌、无热源，血液储存无毒、无不良反应。医用不锈钢采血针、有针帽防护。采血袋：单联袋、三联袋；单联袋用于保存全血，三联袋用于保存全血或单采红细胞；规格包括200ml、400ml等；采用医用级PVC材质，膜袋柔软，半透明、无杂质；血袋膜单层厚度0.39-0.42mm；血袋寿命期内2年，水分损耗不大于5%。PVC材质导管，透明、柔软、不打折，符合GB14232.1要求，承受20N拉力至少15s不产生泄漏。热转印标签，无脱落风险。红细胞保存液：抗凝保存液可2-6℃保存全血或红细胞≥35天，原材料及成品符合中国药典及国家药品标准规定。</w:t>
      </w:r>
    </w:p>
    <w:p w14:paraId="3D6136C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招标现场需提供样品</w:t>
      </w:r>
    </w:p>
    <w:p w14:paraId="1AA3E94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16C1D62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、膜型血浆成分分离器参数</w:t>
      </w:r>
    </w:p>
    <w:p w14:paraId="230861C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所投产品需在省标目录内。用于开展双重滤过血浆置换治疗，更特异性地清除血脂等致病因子，减少白蛋白及营养物质的丢失。需匹配费森尤斯COM.TEC血液成分分离机。膜滤过原理，湿性膜，柱内有预充液。需提供适配的连接管件。</w:t>
      </w:r>
    </w:p>
    <w:p w14:paraId="4CD2ECB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招标现场需提供样品</w:t>
      </w:r>
    </w:p>
    <w:p w14:paraId="61B9B7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</w:p>
    <w:p w14:paraId="3168DB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球囊导引导管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的技术参数</w:t>
      </w:r>
    </w:p>
    <w:p w14:paraId="28C30B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所投产品需在省标目录内。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用于可临时性阻塞血管或控制血流，还可以用于建立通路，包括颅内</w:t>
      </w:r>
    </w:p>
    <w:p w14:paraId="4D9C0D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动脉的慢性闭塞再通和急性再通，颅内外动脉狭窄的介入治疗等。有效长度包括85cm、95cm；外径为8F，组件包括球囊导引导管、可撕导入鞘、鲁尔启动阀、Y型旋转止血阀；内径≥0.088英寸，可通过6F中间导管和血栓抽吸导管，兼容8F短鞘;远端球囊为超顺应性球囊。</w:t>
      </w:r>
    </w:p>
    <w:p w14:paraId="3FAABD6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招标现场需提供样品</w:t>
      </w:r>
    </w:p>
    <w:p w14:paraId="529B68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</w:p>
    <w:p w14:paraId="2D4CEF3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、取栓支架参数</w:t>
      </w:r>
    </w:p>
    <w:p w14:paraId="5F44870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所投产品需在省标目录内。用于颅内动脉的慢性闭塞再通和急性再通。支架直径：3mm、4mm、5mm、6mm，支架长度：25mm、30mm、35mm；支架头端有抓捕网篮；全规格兼容0.017英寸微导管；推送导丝可以允许球囊通过，全规格适配basis技术；支架可全身显影；输送导丝近端较硬用于推送，远端渐变，柔软抗折，外覆PTFE。</w:t>
      </w:r>
    </w:p>
    <w:p w14:paraId="77A9253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招标现场需提供样品</w:t>
      </w:r>
    </w:p>
    <w:p w14:paraId="42A29E4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79E683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 xml:space="preserve">男科实验室耗材一批参数 </w:t>
      </w:r>
    </w:p>
    <w:p w14:paraId="1332D8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所投产品需在省标目录内。</w:t>
      </w:r>
      <w:bookmarkStart w:id="0" w:name="_GoBack"/>
      <w:bookmarkEnd w:id="0"/>
    </w:p>
    <w:p w14:paraId="5FDEA9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一、支原体分离培养药敏检测试剂盒</w:t>
      </w:r>
    </w:p>
    <w:p w14:paraId="197800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用于临床解脲脲原体和人型支原体的培养鉴定，半定量计数和药物敏感性实验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解脲人型支原体分离培养药敏检测试剂盒应采用微生物检验法，具备分离培养、鉴定、计数、药敏于一体的功能。单独包装。操作简单，显色鲜明，对比明显。敏感性、特异性：对解脲脲原体标准株ATCC33175和人型支原体标准株ATCC23114分离培养符合率为100%，药敏符合率≥90%。重复性：对解脲脲原体标准株ATCC33175和人型支原体标准株ATCC23114分离培养重复性为100%，药敏重复性≥90%。</w:t>
      </w:r>
    </w:p>
    <w:p w14:paraId="4CCDBB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二、精子顶体酶活性检测试剂盒（底物酶法）</w:t>
      </w:r>
    </w:p>
    <w:p w14:paraId="4BCC77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用于精子顶体酶活性检测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适用于手工实验操作。密度：批内精密度CV≤8%，批间精密度CV≤15%;特异性：3μmol/L酰胺酶干扰率不超过士15%;灵敏度：CV≤10%。</w:t>
      </w:r>
    </w:p>
    <w:p w14:paraId="00635E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三、精子（细胞）形态学快速染色液（Diff-Quik法）</w:t>
      </w:r>
    </w:p>
    <w:p w14:paraId="419743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用于精液标本涂片的快速染色。可常温保存，性质稳定，保质期6个月以上。染色效果好，精子头体尾分别着色，其精子顶体区染成淡紫色，顶体后区染深紫色，中段与尾部染成淡蓝色或淡红色，背景色清晰，实验结果稳定。</w:t>
      </w:r>
    </w:p>
    <w:p w14:paraId="1F1E5284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人绒毛膜促性腺激素（HCG）检测试纸（胶体金法）</w:t>
      </w:r>
    </w:p>
    <w:p w14:paraId="0944AC21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用于门诊患者的早孕筛查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方便于手工实验。重复性好，不同批次HCG试纸对同一标本显色一致。特异性高，抗干扰能力强。灵敏度高，最低检测下限不高于25U/L。</w:t>
      </w:r>
    </w:p>
    <w:p w14:paraId="49C8A16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沙眼衣原体抗原检测试剂盒（胶体金法）</w:t>
      </w:r>
    </w:p>
    <w:p w14:paraId="48F4B9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用于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用于检测女性宫颈和男性尿道中衣原体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检测样品：生殖道拭子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检测阈值：4x1000 IFU/ml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双抗体夹心法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  <w:t>。</w:t>
      </w:r>
    </w:p>
    <w:p w14:paraId="4E593C4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招标现场需提供样品</w:t>
      </w:r>
    </w:p>
    <w:p w14:paraId="4E9B294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44FF17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、传染病质控品参数</w:t>
      </w:r>
    </w:p>
    <w:p w14:paraId="17F4258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所投产品需在省标目录内。用于梅毒非特异性抗体检测试验（TRUST）和HIV抗体检测（胶体金法）的实验室日常室内质控。用于HIV抗体筛查检测（胶体金法）。质控品：500μL/支。试剂盒：40人份/盒。生产厂家资格：具备“国家质量监督检验检疫总局”或“国家市场监督管理总局”所颁发的《国家标准物质定级证书》。质控品：含人血清基质，TRUST质控：阴性、阳性（1:4-1:8）；HIV胶体金法质控品可同时检测HIV-1/2抗体。试剂盒：可同时检测HIV-1/2抗体。质控品：-15℃以下冷冻保存，有效期≥18个月；复溶后2-8℃可稳定保存7天。试剂盒：常温保存，有效期≥18个月。</w:t>
      </w:r>
    </w:p>
    <w:p w14:paraId="3DED280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招标现场需提供样品</w:t>
      </w:r>
    </w:p>
    <w:p w14:paraId="40A54A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</w:p>
    <w:p w14:paraId="25F463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C2DDA5"/>
    <w:multiLevelType w:val="singleLevel"/>
    <w:tmpl w:val="33C2DDA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72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2026-08-23T22:38:17Z</dcterms:created>
  <dc:creator>pH</dc:creator>
  <cp:lastModifiedBy>pH</cp:lastModifiedBy>
  <dcterms:modified xsi:type="dcterms:W3CDTF">2026-08-23T22:53:31Z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eyJoZGlkIjoiMDljYzUzMWQ4OWI0YzBkYjYzMDRhZTY5ZjZkYmFmYTgiLCJ1c2VySWQiOiIxMjE3NTg2MjUwIn0=</vt:lpwstr>
  </property>
  <property fmtid="{D5CDD505-2E9C-101B-9397-08002B2CF9AE}" pid="4" name="ICV">
    <vt:lpwstr>A3B4DADD0EBC4A3DA39F9A1E9C1B3B9A_12</vt:lpwstr>
  </property>
</Properties>
</file>