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65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1、美容按摩床参数</w:t>
      </w:r>
    </w:p>
    <w:p w14:paraId="44E62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9台，控制价1600元/台。用于患者进行中医治疗使用。配置：枕头1个、呼吸头孔1个、堵头1个、置物架1套、手臂托板2套、床主体1套、皮革软面1套。规格≥1800×700×650mm。床头有固定方形枕头呼吸头孔及堵头，床体底部配有置物架及托板。床面皮革材质为人造皮革软面，内包高密度海绵厚度≥6公分。采用高弹性海绵皮面，可定制颜色。床架材质采用≥60mm×30mm矩形不锈钢钢管焊接或者冷轧钢管焊接烤漆制成，床体静态承重承载重量≥1000斤。采用六腿加粗方管承重。床腿采用大料≥50mm×50mm管壁1.0厚臂矩形不锈钢钢管焊接或者冷轧钢管焊接烤漆制成焊接密封牢固。处理光滑平整，并配有静音防滑脚垫。带置物架。两侧胳膊可以放置扶手处。手臂托板扶手内侧不碰腿。整机原厂质保5年。</w:t>
      </w:r>
    </w:p>
    <w:p w14:paraId="2986A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66FD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2、洗眼器参数</w:t>
      </w:r>
    </w:p>
    <w:p w14:paraId="6C6D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18台，控制价650元/台。医学检验科实验室安全防护基础设施。材质304/316不锈钢。流量≥1.5L/min。启动时间≤1秒。标准GB/T39144.1-2019。类型台式。使用年限≥5年。整机原厂质保5年</w:t>
      </w:r>
    </w:p>
    <w:p w14:paraId="342B4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DDC9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3、医用电动锯、钻参数</w:t>
      </w:r>
    </w:p>
    <w:p w14:paraId="385078F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用于截骨。</w:t>
      </w:r>
    </w:p>
    <w:p w14:paraId="05090A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医用电动锯</w:t>
      </w:r>
    </w:p>
    <w:p w14:paraId="2495D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6把，控制价3500元/把。配置：主机1台、充电器1个、电池2个、消毒通道2个、锯片5个、器械盒1个。功率：主机最大输入≥500W。电机类型：有刷电机。转速/频次：空载频次0—18000cpm。振幅：4°±0.5°。噪声：空载噪声≤75db。径向：输出端径向圆跳动≤0.1mm。轴向：输出端轴向移动≤0.5mm。温度：常温条件下，空载运行5min主机表面温度不超过50C°。重量：主机重量≤1300g。主机机身：一体化铝合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。电池：一体式电池仓（不可拆卸）。仓盖：仓盖采用旋钮旋转180°弹性抗震锁定结构。锯片：主机锯片安装接口为快装式，锯片平行面内360°旋转中的五个角度安装使用。显示：具有电量显示、电量检测功能。配快速充电器。1.镍氢电池。2.容量≥1800mA 。4.充电时间≤2小时。5.充满电后的电池，放电时间≥30分钟。灭菌方式高温高压。使用年限≥6年。整机原厂质保5年，设备故障维修期间提供备用机，现场培训一年1次。</w:t>
      </w:r>
    </w:p>
    <w:p w14:paraId="5AACB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医用电动钻</w:t>
      </w:r>
    </w:p>
    <w:p w14:paraId="05545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2把，控制价3500元/把。配置：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主机1台、充电器1个、电池2个、消毒通道2个、电钻钥匙2个、器械盒1个。功率：主机最大输入≥500W。电机类型：有刷电机。转速/频次：空载频次0—1200rpm。扭矩：输出扭矩0—3.5N.M，冲击扭矩最高8.5N.M。夹头夹持范围：0.8—7.9mm。噪声：空载噪声≤75db。径向：输出端径向圆跳动≤0.1mm。轴向：输出端轴向移动≤0.5mm。温度：常温条件下，空载运行5min主机表面温度≤50C°。重量：主机重量≤1500g。开关：主机具备旋钮式正转、停止、反转三挡调节开关功能。主机机身：一体化铝合金。电池：一体式电池仓（不可拆卸）。仓盖：仓盖采用旋钮旋转180°弹性抗震锁定结构。显示：具有电量显示、电量检测功能。配快速充电器。1.镍氢电池。2.容量≥1800mA 。4.充电时间≤2小时。5.充满电后的电池，放电时间≥30分钟。灭菌方式：高温高压。使用年限≥6年。整机原厂质保5年，设备故障维修期间提供备用机，现场培训一年1次。</w:t>
      </w:r>
    </w:p>
    <w:p w14:paraId="3E825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1A2C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、干眼熏蒸仪参数</w:t>
      </w:r>
    </w:p>
    <w:p w14:paraId="245EA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1台，控制价70000元。用于治疗干眼症、睑板腺功能障碍等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。配置：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主机1台、电源线1根、管路5根、雾化杯5个、温控线1根、保险丝2只。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采用全触摸按键操作，可语音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播报。热雾模式温度设置：30-45℃。管路内部自主升温降温，无需外置加热管路（加热丝等）。凉雾模式温度设置（常温）：18-28℃。</w:t>
      </w:r>
      <w:r>
        <w:rPr>
          <w:rFonts w:hint="eastAsia" w:ascii="宋体" w:hAnsi="宋体" w:eastAsia="宋体" w:cs="宋体"/>
          <w:strike w:val="0"/>
          <w:dstrike w:val="0"/>
          <w:color w:val="auto"/>
          <w:sz w:val="24"/>
          <w:szCs w:val="24"/>
          <w:highlight w:val="none"/>
          <w:lang w:val="en-US" w:eastAsia="zh-CN"/>
        </w:rPr>
        <w:t>具备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全程语音播报，防干烧系统，内部多点温度传感器监测，PID系统智能变频监测出雾口温度。需报出配套耗材医用雾化眼罩、银离子抑菌液价格。医用雾化眼罩（控制价38元/副）由眼罩和导管两部分组成，采用高分子材料制成，非无菌提供。银离子抑菌液（控制价22元/瓶），40ml/瓶，以银离子为主要抑菌成份。使用年限≥5年。整机原厂质保5年。设备故障维修期间提供备用机。提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供现场培训一年1次。</w:t>
      </w:r>
    </w:p>
    <w:p w14:paraId="3D9F4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FDE3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、呼吸科设备一批</w:t>
      </w:r>
    </w:p>
    <w:p w14:paraId="3927E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摊片烤片机参数</w:t>
      </w:r>
    </w:p>
    <w:p w14:paraId="7294F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7000元。具备组织切片摊平、恒温烘烤功能，用于呼吸道活检切片病理前处理，适配临床检验、教学、科研制片操作。配置：主机1台、摊片锅组件1套、烤片支架1套、封闭防护罩1套。不锈钢箱体。具摊、烤、烘一体化设计。恒温加热方式：温度误差±0.5℃。具有斜插式和染色架等多种烘烤模式。全中文液晶显示，触摸按键。烘烤片数量（片）基础60片，额外增加2组、每组30片。使用年限≥6年。整机原厂质保5年。</w:t>
      </w:r>
    </w:p>
    <w:p w14:paraId="1AFCF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DD69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旋涡振荡器参数</w:t>
      </w:r>
    </w:p>
    <w:p w14:paraId="4997D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3000元。用于痰液、肺泡灌洗液、血清、生化试剂等临床微量标本振荡混匀，适配临床检验、教学、科研。配置：主机1台、标准振荡头1套、多规格泡沫适配器1套。具备圆周振荡模式，支持连续运转、点动两种运行方式。转速调节区间0～2800rpm，旋钮刻度调速结构。振荡圆周直径3mm，兼容0.2-2ml微量试管。配备加重底座。机身尺寸≥130mm×150mm×150mm。整机净重≥2.4kg。可配套不少于6套不同规格适配托盘。使用年限≥6年。整机原厂质保5年。提供现场培训1次。</w:t>
      </w:r>
    </w:p>
    <w:p w14:paraId="08242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37C95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电热恒温水浴箱参数</w:t>
      </w:r>
    </w:p>
    <w:p w14:paraId="6E104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1台，控制价3000元。作精密恒温和辅助加热之用。配置：主机1套。304不锈钢一体成型内胆，圆弧转角无死角。冷轧钢板静电喷涂外壳，防锈防腐蚀。整机配置保温填充隔热层。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水浴盖板配套多孔隔热盖、组合孔盖/圆孔盖。设有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可调防滑支撑机脚，水平调平。控温范围+5～99℃。恒温波动度±0.5℃。跟踪报警±2℃。容积≥10L。内胆尺寸（W*D*H）≥300*240*150mm。外形尺寸（W*D*H）≥340*290*280mm。定时范围1～5999min。双列四孔，每孔五圈，规格尺寸:Ф30-120之间。使用年限≥6年。整机原厂质保5年。提供装机培训1次。</w:t>
      </w:r>
    </w:p>
    <w:p w14:paraId="4A9EAD6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E51D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多功能细胞分类计数仪参数</w:t>
      </w:r>
    </w:p>
    <w:p w14:paraId="227EA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5000元。可实现骨髓、外周血、呼吸道脱落细胞分类计数，自动计算百分比、粒红比及统计学指标，适配临床镜检、教学、科研数据采集。配置：计数工作站主机1台。工作站配备≥32分区功能按键，分档输入输出，适配多类细胞同步计数。配备8位LED数码总计数显示，单通道最大计数值5位。百分比、粒红比、白红比保留两位小数，运算误差±1个字。具备计数、倒计数区分声光提醒，分多档提示音效，具备大/小/静音三档音量。内置加减乘除、累加、百分率、均值、标准差等统计学运算功能。各运算状态配备状态指示灯，实时显示工作模式。连续工作时长≥12h。整机重量≤0.6kg。外形尺寸≥160mm×200mm×50mm。使用年限≥8年。整机原厂质保5年。提供装机培训1次。</w:t>
      </w:r>
    </w:p>
    <w:p w14:paraId="1ADE7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62D17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超声雾化器参数</w:t>
      </w:r>
    </w:p>
    <w:p w14:paraId="00F4F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1000元。用于机械通气、无创通气、高频振荡通气、高流量氧疗治疗及自主呼吸患者的雾化治疗。配置：雾化主机1套、雾化杯1套、储雾罐1套、面罩1套、雾化咬嘴1套。雾化主机噪音＜50dB，有储备电，控制器有雾化时间模式选择。雾化器可用于机械通气雾化使用，可连接呼吸机管路、湿化罐，可应用于连续雾化或者定量雾化；雾化杯容积为8ml，误差为±10%；雾化粒径＜5μm；雾化残液量≤0.2mL。需报出配套耗材雾化组件价格（控制价80元/套），材质：面罩PVC、药杯PP/PC、咬嘴PP/TPE，型号：成人型，雾化网：医用级不锈钢或者钛合金、无菌。使用年限≥6年，整机原厂质保5年，网片坏后可免费换新。设备故障维修期间提供备用机。现场培训一年2次。</w:t>
      </w:r>
    </w:p>
    <w:p w14:paraId="688CE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6B88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、内镜专用诊疗车参数</w:t>
      </w:r>
    </w:p>
    <w:p w14:paraId="55083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台，控制价17000元/台。用于内镜检查操作及术后转运复苏全流程。配置：内镜电动转运床1张、床盖罩1个、输液架底座1个、输液架1个、体位靠背1个。一床多用：内镜诊疗时可作为诊疗台使用，麻醉复苏时可作为麻醉复苏椅使用。平床状态规格：诊疗床状态长度≤1830mm，宽度≤710mm（使用围挡时），诊疗床状态高度范围：550-900mm。椅位状态规格：复苏椅状态长度≤1200mm，宽度≤710mm（使用围挡时），座椅复苏位状态高度范围：1400-1750mm。电控部分：整体可电动升降，背板可躺坐调节与背膝联动，腿板可单独手动调节角度适用不同体位诊疗需求。高度电动升降功能，具有≥2根气压杆升降辅助调节，座椅复苏位状态下也可以进行升降。升降操作方式：手控开关和脚控开关两种方式。躺卧角度调节：气压杆辅助无级多角度调节。床面材质：内置≤5cm海绵+皮革一体包裹。护栏：具备四段式分体护栏，四个护栏可分别调节，航空卡口安全带。椅位状态：坐椅位状态后仰倾斜角度：≥9度，具有≥2根气压杆倾斜辅助调节。脚轮要求：脚轮直径≥150mm全锁型，三档一体控制（全锁、万向、直行）。进液防护：主体防进液等级IPX4，脚控开关防进液等级IPX8。使用年限≥6年。整机原厂质保5年。设备故障维修期间提供备用机。提供现场培训一年一次。</w:t>
      </w:r>
    </w:p>
    <w:p w14:paraId="19EB4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07BF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、胶体金免疫层析分析仪参数</w:t>
      </w:r>
    </w:p>
    <w:p w14:paraId="77A3C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38000元/台。通过唾液胃蛋白酶检测实现胃食管反流病、反流相关食管及咽喉肿瘤的早期筛查与鉴别诊断。配置：主机1台、软件1套、热敏打印纸5卷。检测原理：干式荧光免疫法。检测通道≥12通道。样本类型：全血、血清、血浆、尿液。检测速度：单次检测耗时≤10秒。检测方式：支持一卡多项。可检测项目：可检测胃蛋白酶、幽门螺杆菌分型等，支持≥250个不同项目。台间差：Bis%≤5%（系列标准卡）。检测性能：重复性CV≤10%，稳定性≤±8%。操作自动化：自动检测，自动弃卡。打印：内置热敏打印机及支持外置打印设备连接。系统连接：支持可通过LIS连接传送测试结果及数据导出,报价包含与医院信息系统连接的全部费用。系统功能：用户登录、用户管理、样品测试、打印报告、信息查询、数据统计、判读显示、试剂卡C线异常、试剂卡插反/未到位、试剂卡过期等有警告提示。需报出配套耗材胃蛋白酶检测试剂盒（免疫荧光法）价格（控制价180元/袋）。材质：塑料卡。样本类型：唾液。方法:双抗体夹心法等。取样量:0.5mL。反应时间:10min。阴性符合率:检测含有胰蛋白酶(浓度范围0.8-1.2μg/mL)、α-淀粉酶(浓度范围0.8-1.2μg/mL)的阴性参考品(N1-N5)，检测结果均为阴性，阴性参考品符合率为100%。阳性符合率：检测阳性程度分别为强、中、弱的阳性参考品(P1-P3)，检测结果均为阳性，阳性参考品符合率为100%。重复性:检测阳性程度分别为中、弱的重复性参考品(R1-R2)，阳性检出率均为100%，且批内CV均≤15%，批间CV均≤15%。储存条件及有效期:试剂盒于2~30℃保存，未开封试剂盒自生产之日起24个月内有效。设备使用年限≥6年。整机原厂质保5年。设备故障维修期间提供备用机。提供现场培训一年两次。</w:t>
      </w:r>
    </w:p>
    <w:p w14:paraId="5009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color w:val="C00000"/>
          <w:sz w:val="24"/>
          <w:szCs w:val="24"/>
          <w:highlight w:val="none"/>
          <w:lang w:val="en-US" w:eastAsia="zh-CN"/>
        </w:rPr>
      </w:pPr>
    </w:p>
    <w:p w14:paraId="20296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08C2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、双极电凝系统参数</w:t>
      </w:r>
    </w:p>
    <w:p w14:paraId="1452C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套，控制价70000元。主要用于门诊行鼻出血止血术、鼻腔小肿物切除术、扁桃体术后出血止血术、咽部良性小肿物切除术等。配置：主机1台、负极板连接线1条、双极脚踏1个、台车1辆。主机：单极切割、单极凝血和双极凝血功能分别为三个或以上独立的功能区域，直观操作。工作模式：单双极≥9个模式。双极电凝：≥2种工作模式，最大功率≥100W。单极电凝：≥3种，凝血最大功率≥120W。单极纯切：允许最大功率切割≥300W。单极混切：≥3种混切模式，混切最大功率≥250W。电压调节：具有自动电压调节功能，设备为间歇加载连续运行制式的，运行间隔时间为10s/30s。关机记忆：能够断电或关机自动保存功率，开机自动复现上次输出功率。自检及报警：支持开机自检，自检异常报警功能，并带声光报警提示。功率输出：具有手控和脚控功率输出功能，输出过程中伴有声光提示，医生可根据声音状态实时了解机器的工作情况，工作音量可调。需报出配套耗材高频手术电极、高频手术刀头和双极电凝镊价格。高频手术电极（控制价80元/个）总长度≥190mm，枪状弯角弯头，无菌。高频手术刀头（控制价120元/个）通用接头，无菌。双极电凝镊（控制价1080元/个）总长度≥190mm，枪状弯角弯头，无菌。使用年限≥10年。整机原厂质保5年。设备故障维修期间提供备用机。提供一年2次培训。</w:t>
      </w:r>
    </w:p>
    <w:p w14:paraId="240D5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2772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、熏蒸治疗仪参数</w:t>
      </w:r>
    </w:p>
    <w:p w14:paraId="1CEEA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3台，控制价20000元/台。具备中药熏蒸功能、温水冲洗、热风烘干、自动冲洗管路、自动泵药功能等。配置：主机一台、防漏电电源插头一个、药杯一个、药物熏蒸疗系统一套、热水疗系统一套、热风疗系统一套、排污系统一套、台座一个、水处理系统一套。由座椅、控制器、接入水管、超声雾化冲洗容器、座垫组成，座椅包括椅架、椅内水加热器和臭氧发生器组成。软质高靠背落座熏洗。雾化、冲洗、烘干、灭菌可任意设置，功能可单独使用。加热采用水、电分离。超声雾化机：超声雾化量≥1ml/min；雾化器超声工作频率与标称频率的偏差：±10%；雾化器正常工作时的整机噪声：≤50dB。防漏电屏蔽电源线，电源线长度≥1.2米。水处理系统：配备臭氧发生器，水中臭氧的含量0.005-0.025mg/L。使用年限≥8年。整机原厂质保5年。设备故障维修期间提供备用机。提供一年一次培训。</w:t>
      </w:r>
    </w:p>
    <w:p w14:paraId="3CD6D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AEB6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、结肠水疗仪参数</w:t>
      </w:r>
    </w:p>
    <w:p w14:paraId="3FCC9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台，控制价24000元。适用于肠镜检查前的肠道准备和大肠肛门病手术前的肠道准备。配置：结肠水疗仪1台、检查床1台、水处理系统1套、排污管1根。显示器：≥19寸液晶支持遥控操作。双重温度保护：水温可调，具备双重温度保护功能；超出设定温度时自动停止加热，第二重保护温差≤0.5℃。双重压力保护：灌注压力可调，实时监测肠腔压力；达到压力上限时自动停止，具备双重压力保护功能，两级保护阈值差≤0.5kPa。电气安全保护：采用≤12V低电压控制；加热系统具备自动断电及双重安全保护功能；外壳漏电流≤0.1mA。臭氧消毒系统：配置臭氧发生装置，具备臭氧消毒功能，可用于设备相关管路及规定部位的消毒处理。使用年限≥8年。整机原厂质保8年。设备故障维修期间提供备用机。提供现场培训一年一次。</w:t>
      </w:r>
    </w:p>
    <w:p w14:paraId="63980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4EDC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、肺功能测试系统参数</w:t>
      </w:r>
    </w:p>
    <w:p w14:paraId="30D74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套，控制价50000元。用于患者肺功能检查，包含：慢肺活量SVC、用力肺活量FVC、每分钟最大通气量MVV和静息分钟通气量MV。配置：主机（含彩色触摸显示屏）1台、传感器手柄1个、肺功能检查信息管理系统1套、流量传感器探头2个、手柄支架1个、手柄电缆1根、3升定标筒1个、内置后备锂电池1个、打印纸5卷、WIFI无线网卡1个、路由器1个。①检测包含：FVC、FEV1、FEV3、FEV6、FEV1/FVC、FEV1/VCMax、PEF、FEF25、FEF50、FEF75、MMEF、VEXP、FET呼气指标，PIF等吸气指标；VC、VT、IRV、ERV、IC等参数。②具有分钟最大通气量测试功能模块：MVV、VT、RR。③可进行支气管舒张，支持用药前后对比测试。④可检测呼气、吸气指标，实时显示动态曲线（流量容积曲线、时间容积曲线）；含有预计值。⑤便携式设计。⑥传感器可拆卸、清洗、消毒。⑦可显示多次测量预设曲线，叠加图形，用不同颜色进行实测曲线对比。⑧体积检测：流量积分法。⑨流量范围：±1L/s，流速精度：±5%或±200ml/s，取大者。⑩FEF25，FEF50，FEF75精度±5%或±200ml/s，取大者，对小气道进行评估。⑪容量范围：0-16L（满足运动人群的测试需求）；容量精度：±3%或±0.05L，取大者。⑫流量探头呼气阻力：在0~16L/s范围内，≤0.15kPa/L/s。⑬≥4寸触摸屏和整机集成外置快捷按键。⑭热敏打印机，热敏打印宽度110mm。⑮存储病例：可扩展存储卡，≥9000份病人数据存储。⑯数据接口：主机提供4个USB接口。⑰具备BTPS校正的外置环境参数传感器并具备BTPS自动修正功能，检测参数要求：大气压：30-110KPa；温度：-20-85℃；相对湿度：0-100%。⑱设备使用年限≥6年。⑲可根据检测结果进行生成检测报告，并自动质控评级。⑳具备无线数据互联功能。㉑支持单台仪器离线工作及与PC端联机工作模式。㉒支持对接医院HIS系统，报价包含与医院系统连接的全部费用。整机原厂质保5年。设备故障维修期间提供备用机。提供现场培训一年一次。</w:t>
      </w:r>
    </w:p>
    <w:p w14:paraId="43CAB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23EEA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、碳13呼气测定分析仪参数</w:t>
      </w:r>
    </w:p>
    <w:p w14:paraId="61867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25000元/台。通过13C呼气试验检测胃幽门螺杆菌感染情况。配置：主机1台、检测仪软件系统1套、微型计算机1台、图文输出设备1台、液晶显示器1台、红光扫描器1台。样本采集通道：≥10通道。输出功率180VA。测量范围：CO2浓度1%-10%。样本体积≥120ml/袋。环境温度：10℃-30℃。相对湿度≤70%。大气压力86kpa-106kpa。预热时间≤45min。精密度（δsd）≤0.25‰。稳定性（CV）≤3%。分析速度：每个样品分析时间≤100s。检测灵敏度：CO2最小检测浓度：0.5%，误差≤±0.1%。应用软件：①C13呼气检测专用软件的功能包括：用户登录、用户管理、样品测试、打印报告、信息查询、数据统计、自检、校正。②C13呼气检测专用软件可连接HIS、LIS及体检主检系统。需报出配套耗材13C呼气试验试剂盒价格（控制价78元/袋），①剂量：75mg②剂型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不限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③含有酸化配方。设备使用年限≥6年。整机原厂质保5年。设备故障维修期间提供备用机。提供现场培训一年两次。</w:t>
      </w:r>
    </w:p>
    <w:p w14:paraId="0690B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63013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、牙周喷砂机参数</w:t>
      </w:r>
    </w:p>
    <w:p w14:paraId="2130F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25000元/台。包含超声系统和喷砂系统，超声系统用于口腔临床治疗中做牙周治疗，清除龈上、龈下的牙结石、牙菌斑，牙齿根管的清洁、荡洗；喷砂系统用于清除龈上、龈下的牙菌斑、色素。配置：主机1台、脚踏开关1个、超声手柄2支、工作尖14枚、限力扳手2个、喷砂手柄2把、粉罐2个、水瓶2个、消毒盒2个、编织管1根、通针2根、过滤器2个、O形圈1包、密封垫2个、根管扳手2个、LED灯2个、喷嘴10个、喷嘴扳手1个、三通8-8-61个、公接头1个、母接头1个、快速接头1个、PU管20个、小推车1辆、牙科喷砂粉3瓶、菌斑指示剂2瓶。输出的尖端主振动偏移：≤90μm。输出的尖端振动频率：30±5kHz。输出的半偏移力：≤10N。尖端输出功率：3W～20W。进水压力：0.1MPa～0.5MPa。进气压力：0.55MPa～0.75MPa。具备龈上、龈下喷砂洁治，超声洁治，牙周治疗，根管治疗功能。前面板采用触控液晶屏，且可调节功率、水量、温度。超声、喷砂功率水量0-12档调节。具有标准模式、无水模式、清洗模式、增强模式四种脚踏功能模式。内置变压器，实现内部水电分离。水路、气路接口需带过滤器。配置不小于1200mL大容量水瓶。可实现自动供水，也可使用外接水路供水。供水采用提示灯设计。可使用钛合金工作尖。超声手柄、喷砂手柄尾线接口带有防滑纹。手柄支架带感应功能，可根据所选用工作手柄自动切换工作模式。喷砂手柄采用三段式设计，手柄尾线可拆卸。手柄可自由拔插、拆卸，能在高温和高压环境中进行灭菌处理。喷嘴采用四孔设计，三孔出砂一孔出水，实现360°旋转。有龈上、龈下独立喷砂粉罐，显示砂粉刻度。粉罐采用全透明漏斗形设计，可360°旋转。具备清洁模式。具备水路加热功能，且有不少于五种加热温度选择。需报出配套耗材喷砂粉、工作尖价格，喷砂粉（控制价180元）粉体均为圆角结晶、水溶性良好，工作尖（控制价260元）硬度高、导热稳定。使用年限≥10年。整机原厂质保5年。</w:t>
      </w:r>
    </w:p>
    <w:p w14:paraId="65131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266D6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、组合输液泵/注射泵台车参数</w:t>
      </w:r>
    </w:p>
    <w:p w14:paraId="071E3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台，控制价2000元/台。组合输液泵/注射泵台车是ICU医疗环境中用于承载、整合和辅助输液泵/注射泵工作的移动式支架设备。其核心功能在于优化临床输液/注射工作流程，提升治疗的安全性与效率。配置：台车框架1台、底座（含静音轮）1个、置物台1个、挂篮1个、可升降输液挂钩1个、漏电保护开关1个、注射泵/输液泵电源线插口/接口≥8个、扶手1个。底座（含静音轮）：≥3寸静音轮，四个脚轮均带制动器刹车制动静止时台车无滑移。适配泵数量：能同时适配4台以上双通道注射泵、2台输液泵同时使用。框架：框架为不锈钢或铝合金，防静电、防腐喷涂工艺。框架承重≥80kg。设备固定装置：有可调节锁紧卡扣、能适配主流品牌输液泵、微量注射泵。台车尺寸：整体长宽高适配病房、ICU通道，宽度≤650mm，高度范围≥1000–1500mm，台面深度≥420m。供电配电系统：总额定输入功率≥2500W，满足多台泵同时工作供电。配电系统具备防过流、防短路、防漏电三重防护，提供电气安全检测报告。漏电保护装置：台车内置独立医用级漏电保护开关，过载、短路、漏电自动断电保护，开关带透明防护防尘盖。插线接口配置：医用阻燃排插，插孔数量≥8位国标五孔插座；插座外壳阻燃等级V0级，防触电安全门，单个插座额定电流10A。使用年限≥6年。整机原厂质保5年。设备故障维修期间提供备用机。提供现场培训一年一次。</w:t>
      </w:r>
    </w:p>
    <w:p w14:paraId="575A9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52791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、气囊压力表参数</w:t>
      </w:r>
    </w:p>
    <w:p w14:paraId="04B83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13个，控制价1500元/个。用于各种气管插管、气管切开插管、双腔支气管插管等的高容量低压气管插管的套囊压力监测以及充气、放气压力调节。气囊测压表1个、连接管路1根。压力量程:≥0-120cmH20，压力测量范围:≥0-120cmH20。基本误差:≤±2cmH20。有充气功能，可将气囊内气体充到指定范围。有放气功能，可将气囊内气体放出。密封性≤2cmH20/min。每分钟系统压力下降≤2cmH20。压力波动相应:施加微小压力变化时指针变化≤1cmH20。使用年限≥6年。整机原厂质保5年。维修备用机设备故障维修时提供备用机。现场培训一年一次。</w:t>
      </w:r>
    </w:p>
    <w:p w14:paraId="72F72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19B4E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、电子分析天平参数</w:t>
      </w:r>
    </w:p>
    <w:p w14:paraId="2C6C8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台，控制价8000元/台。满足色谱/质谱检测相关标准品、对照品及微量试剂的精密称量需求，适合日常频繁称量操作。电子分析天平主机1台、防风罩组件1套、称量盘1个。最大称量值≥220g。可读性0.0001g。重复性±0.0001g。线性误差±0.0002g。典型稳定时间≤2秒。使用年限≥5年。整机原厂质保5年。</w:t>
      </w:r>
    </w:p>
    <w:p w14:paraId="7CA27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D130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、电热恒温干燥箱参数</w:t>
      </w:r>
    </w:p>
    <w:p w14:paraId="2FB79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台，控制价3200元/台。用于烘干炮制中药材、消毒诊疗器具、实验样本干燥、试剂预处理、开展药品稳定性测试、制剂烘干、器械灭菌前干燥处理等工作。主机1台、不锈钢内胆1个、定时功能模块1个、超温保护系统1个。温度范围：室温+10℃～300℃，温度波动度：±1℃。温度均匀度：≤最高工作温度±2.5%。箱内循环方式：强制对流，底部加热。报警类型：超温报警、温度探头损坏报警。参考内部尺寸W×D×H（cm）：≥35×35×35。参考外部尺寸W×D×H（cm）：≥68×53×65。内部容积（L）：≥40L，可抽拉活动式搁板≥2个，间距可调。外箱材质：冷轧钢板表面喷塑，内部材质：SUS不锈钢板。具备出风口。底部电阻丝加热，有选温开关。风机可关闭，成为自然对流的恒温干燥箱。LED数码管显示P.I.D.温度控制器。连续运行或定时运行：0~9999min。具有参数记忆功能。内箱采用圆弧结构设计。整机原厂质保5年。现场培训每年一次院内现场培训。</w:t>
      </w:r>
    </w:p>
    <w:p w14:paraId="3D142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DE2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18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、精子计数板参数</w:t>
      </w:r>
    </w:p>
    <w:p w14:paraId="4C70B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2个，7500元/个。精子计数板主要用于精液常规检查，精液冲池，精子计数分析。精子计数板主板1个、精子计数板盖板1个。池深10μm（0.01mm）,精子能自由游动且处于同一焦平面。网格盖玻片上有100个0.1×0.1mm的小格，无需换算系数。样本可直接使用未稀释精液。使用年限≥5年。整机原厂质保5年。</w:t>
      </w:r>
    </w:p>
    <w:p w14:paraId="4F26A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  <w:highlight w:val="none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2NWJhNjMxNjQ0MDk5M2UzNmZjNTU4NzE3MjgwNzAifQ=="/>
  </w:docVars>
  <w:rsids>
    <w:rsidRoot w:val="17CD5B65"/>
    <w:rsid w:val="001077FF"/>
    <w:rsid w:val="00451885"/>
    <w:rsid w:val="005E6DE9"/>
    <w:rsid w:val="00713548"/>
    <w:rsid w:val="00784A7E"/>
    <w:rsid w:val="007D6286"/>
    <w:rsid w:val="00904DF2"/>
    <w:rsid w:val="00911407"/>
    <w:rsid w:val="00AF4637"/>
    <w:rsid w:val="00B2494E"/>
    <w:rsid w:val="00B7758F"/>
    <w:rsid w:val="00C47429"/>
    <w:rsid w:val="00E918BE"/>
    <w:rsid w:val="00EA4318"/>
    <w:rsid w:val="00F37B4B"/>
    <w:rsid w:val="01E82328"/>
    <w:rsid w:val="03187ECB"/>
    <w:rsid w:val="034D35F5"/>
    <w:rsid w:val="034E58B1"/>
    <w:rsid w:val="038720C2"/>
    <w:rsid w:val="03CF5817"/>
    <w:rsid w:val="03F47384"/>
    <w:rsid w:val="040C6A6B"/>
    <w:rsid w:val="04240D29"/>
    <w:rsid w:val="04610B65"/>
    <w:rsid w:val="048A1081"/>
    <w:rsid w:val="04FA2D68"/>
    <w:rsid w:val="05972365"/>
    <w:rsid w:val="06427ADE"/>
    <w:rsid w:val="076444C8"/>
    <w:rsid w:val="079C0106"/>
    <w:rsid w:val="07F70730"/>
    <w:rsid w:val="08867B7B"/>
    <w:rsid w:val="09177D3F"/>
    <w:rsid w:val="09616470"/>
    <w:rsid w:val="0A5151D8"/>
    <w:rsid w:val="0AD80DEB"/>
    <w:rsid w:val="0B9B674E"/>
    <w:rsid w:val="0BE301C1"/>
    <w:rsid w:val="0BEA0098"/>
    <w:rsid w:val="0CA57A5D"/>
    <w:rsid w:val="0D676721"/>
    <w:rsid w:val="0DC331A1"/>
    <w:rsid w:val="0DF651CB"/>
    <w:rsid w:val="0EE90140"/>
    <w:rsid w:val="0F231EC9"/>
    <w:rsid w:val="10595C94"/>
    <w:rsid w:val="10B25ED0"/>
    <w:rsid w:val="10E24DDC"/>
    <w:rsid w:val="11804B48"/>
    <w:rsid w:val="11B4151B"/>
    <w:rsid w:val="124427B8"/>
    <w:rsid w:val="124F64F3"/>
    <w:rsid w:val="12C90477"/>
    <w:rsid w:val="136C7D4D"/>
    <w:rsid w:val="13F56BD4"/>
    <w:rsid w:val="143476FC"/>
    <w:rsid w:val="15196E65"/>
    <w:rsid w:val="15597F0E"/>
    <w:rsid w:val="15A563D8"/>
    <w:rsid w:val="1651241D"/>
    <w:rsid w:val="16D62279"/>
    <w:rsid w:val="172B0DE8"/>
    <w:rsid w:val="178DB08D"/>
    <w:rsid w:val="17CD5B65"/>
    <w:rsid w:val="17EE4066"/>
    <w:rsid w:val="17EF2D94"/>
    <w:rsid w:val="185B0369"/>
    <w:rsid w:val="18B47186"/>
    <w:rsid w:val="19EE1B35"/>
    <w:rsid w:val="1AE01172"/>
    <w:rsid w:val="1AE259D8"/>
    <w:rsid w:val="1B0F169F"/>
    <w:rsid w:val="1D191694"/>
    <w:rsid w:val="1D3A7D4E"/>
    <w:rsid w:val="1DC859F7"/>
    <w:rsid w:val="1DE07B5A"/>
    <w:rsid w:val="1E435E19"/>
    <w:rsid w:val="1EBB287B"/>
    <w:rsid w:val="20217914"/>
    <w:rsid w:val="20EB1A8B"/>
    <w:rsid w:val="21313216"/>
    <w:rsid w:val="22A2261D"/>
    <w:rsid w:val="2307194D"/>
    <w:rsid w:val="234F1FB2"/>
    <w:rsid w:val="23917F22"/>
    <w:rsid w:val="23FF13A9"/>
    <w:rsid w:val="249C1DC3"/>
    <w:rsid w:val="24CD6DB3"/>
    <w:rsid w:val="25B501B5"/>
    <w:rsid w:val="25C1100C"/>
    <w:rsid w:val="25C14C9E"/>
    <w:rsid w:val="26151AA0"/>
    <w:rsid w:val="26C901B4"/>
    <w:rsid w:val="27195933"/>
    <w:rsid w:val="272950FB"/>
    <w:rsid w:val="27D112AE"/>
    <w:rsid w:val="27F4659B"/>
    <w:rsid w:val="28292E99"/>
    <w:rsid w:val="28A6242F"/>
    <w:rsid w:val="28B60E93"/>
    <w:rsid w:val="28D02A86"/>
    <w:rsid w:val="290C0D46"/>
    <w:rsid w:val="29D137E8"/>
    <w:rsid w:val="29F55728"/>
    <w:rsid w:val="2A070FB7"/>
    <w:rsid w:val="2A3B0078"/>
    <w:rsid w:val="2AA31117"/>
    <w:rsid w:val="2AB43DA8"/>
    <w:rsid w:val="2AD21D23"/>
    <w:rsid w:val="2AF61122"/>
    <w:rsid w:val="2AF67453"/>
    <w:rsid w:val="2AFBD485"/>
    <w:rsid w:val="2B110340"/>
    <w:rsid w:val="2B1E7D4C"/>
    <w:rsid w:val="2B353AA7"/>
    <w:rsid w:val="2B8762AD"/>
    <w:rsid w:val="2BEC1E78"/>
    <w:rsid w:val="2CCC0350"/>
    <w:rsid w:val="2DC67E6C"/>
    <w:rsid w:val="2E291E44"/>
    <w:rsid w:val="2E884002"/>
    <w:rsid w:val="2F750593"/>
    <w:rsid w:val="2FCA0BBC"/>
    <w:rsid w:val="2FFD9781"/>
    <w:rsid w:val="304E4138"/>
    <w:rsid w:val="308F1331"/>
    <w:rsid w:val="326A72D8"/>
    <w:rsid w:val="32DC7485"/>
    <w:rsid w:val="3311686E"/>
    <w:rsid w:val="349D494B"/>
    <w:rsid w:val="34AE5ED5"/>
    <w:rsid w:val="365B6913"/>
    <w:rsid w:val="37001E48"/>
    <w:rsid w:val="3782473A"/>
    <w:rsid w:val="3842422E"/>
    <w:rsid w:val="38507FCD"/>
    <w:rsid w:val="387C57C0"/>
    <w:rsid w:val="38B0344F"/>
    <w:rsid w:val="39E76710"/>
    <w:rsid w:val="3A287454"/>
    <w:rsid w:val="3AB1503E"/>
    <w:rsid w:val="3AD64BEA"/>
    <w:rsid w:val="3AF364B7"/>
    <w:rsid w:val="3AF64E5C"/>
    <w:rsid w:val="3AF971B0"/>
    <w:rsid w:val="3B6169C8"/>
    <w:rsid w:val="3B6C511E"/>
    <w:rsid w:val="3B6F9C92"/>
    <w:rsid w:val="3C101F4E"/>
    <w:rsid w:val="3DCA2F40"/>
    <w:rsid w:val="3E611186"/>
    <w:rsid w:val="3E86299B"/>
    <w:rsid w:val="3EC62D97"/>
    <w:rsid w:val="3FDC072C"/>
    <w:rsid w:val="3FFBBC68"/>
    <w:rsid w:val="3FFF2753"/>
    <w:rsid w:val="3FFF6031"/>
    <w:rsid w:val="4042081C"/>
    <w:rsid w:val="40D7128C"/>
    <w:rsid w:val="41462848"/>
    <w:rsid w:val="414A2B7F"/>
    <w:rsid w:val="43162B51"/>
    <w:rsid w:val="43CC64ED"/>
    <w:rsid w:val="43E9BAA7"/>
    <w:rsid w:val="43F9776B"/>
    <w:rsid w:val="46D5626E"/>
    <w:rsid w:val="47486A40"/>
    <w:rsid w:val="478B7A4D"/>
    <w:rsid w:val="48DD58AD"/>
    <w:rsid w:val="492D7318"/>
    <w:rsid w:val="49C6619F"/>
    <w:rsid w:val="49F77FCA"/>
    <w:rsid w:val="4A4B06F0"/>
    <w:rsid w:val="4AB81212"/>
    <w:rsid w:val="4B3F4657"/>
    <w:rsid w:val="4B9C5862"/>
    <w:rsid w:val="4BB74194"/>
    <w:rsid w:val="4BEF1B80"/>
    <w:rsid w:val="4C5C2F8D"/>
    <w:rsid w:val="4D204F66"/>
    <w:rsid w:val="4D8D0A0C"/>
    <w:rsid w:val="4DBF1A26"/>
    <w:rsid w:val="4E3C4E24"/>
    <w:rsid w:val="4E6A373F"/>
    <w:rsid w:val="4F9A1DAF"/>
    <w:rsid w:val="4FCD0EB2"/>
    <w:rsid w:val="501E2A33"/>
    <w:rsid w:val="50D15CF8"/>
    <w:rsid w:val="50F12775"/>
    <w:rsid w:val="514C1822"/>
    <w:rsid w:val="51635A39"/>
    <w:rsid w:val="52FB52AE"/>
    <w:rsid w:val="532A16EF"/>
    <w:rsid w:val="539847EA"/>
    <w:rsid w:val="54320B04"/>
    <w:rsid w:val="56462CE4"/>
    <w:rsid w:val="569E17D5"/>
    <w:rsid w:val="57392849"/>
    <w:rsid w:val="581C7215"/>
    <w:rsid w:val="590D49C0"/>
    <w:rsid w:val="592F8996"/>
    <w:rsid w:val="5B8435E5"/>
    <w:rsid w:val="5C16520E"/>
    <w:rsid w:val="5C3B671B"/>
    <w:rsid w:val="5C402BE9"/>
    <w:rsid w:val="5C8166D1"/>
    <w:rsid w:val="5CA7E86F"/>
    <w:rsid w:val="5CBD5382"/>
    <w:rsid w:val="5E5A4D95"/>
    <w:rsid w:val="5E6261E1"/>
    <w:rsid w:val="5E7BC96D"/>
    <w:rsid w:val="5EFD5F0A"/>
    <w:rsid w:val="5EFF7233"/>
    <w:rsid w:val="5F6146EB"/>
    <w:rsid w:val="5F973DFA"/>
    <w:rsid w:val="5FF9C981"/>
    <w:rsid w:val="60F129E1"/>
    <w:rsid w:val="60F4333C"/>
    <w:rsid w:val="61A905CB"/>
    <w:rsid w:val="61F745BC"/>
    <w:rsid w:val="633A647F"/>
    <w:rsid w:val="63AA1104"/>
    <w:rsid w:val="64346872"/>
    <w:rsid w:val="64590086"/>
    <w:rsid w:val="6497A2AD"/>
    <w:rsid w:val="64990483"/>
    <w:rsid w:val="64F96CC7"/>
    <w:rsid w:val="6560526F"/>
    <w:rsid w:val="66363A30"/>
    <w:rsid w:val="66546D57"/>
    <w:rsid w:val="66CF63DE"/>
    <w:rsid w:val="671E29FA"/>
    <w:rsid w:val="676C1E7F"/>
    <w:rsid w:val="676E3E49"/>
    <w:rsid w:val="67E63DD2"/>
    <w:rsid w:val="68BC6E36"/>
    <w:rsid w:val="692844CB"/>
    <w:rsid w:val="696E342C"/>
    <w:rsid w:val="6974326C"/>
    <w:rsid w:val="697931B9"/>
    <w:rsid w:val="6A35099B"/>
    <w:rsid w:val="6B4975DA"/>
    <w:rsid w:val="6B7D0AFE"/>
    <w:rsid w:val="6BFBA5B1"/>
    <w:rsid w:val="6C3039D7"/>
    <w:rsid w:val="6C3C4916"/>
    <w:rsid w:val="6CDD4B5F"/>
    <w:rsid w:val="6CE47FD4"/>
    <w:rsid w:val="6D437B25"/>
    <w:rsid w:val="6D470552"/>
    <w:rsid w:val="6D7C6B93"/>
    <w:rsid w:val="6DAB91B0"/>
    <w:rsid w:val="6E406880"/>
    <w:rsid w:val="6E442175"/>
    <w:rsid w:val="6E4E6782"/>
    <w:rsid w:val="6ECB4E55"/>
    <w:rsid w:val="6EFEFD94"/>
    <w:rsid w:val="6F6BE909"/>
    <w:rsid w:val="6FA06558"/>
    <w:rsid w:val="709A5CAE"/>
    <w:rsid w:val="70E17439"/>
    <w:rsid w:val="72624DFA"/>
    <w:rsid w:val="72907369"/>
    <w:rsid w:val="72C40DC1"/>
    <w:rsid w:val="730E028E"/>
    <w:rsid w:val="73473BB1"/>
    <w:rsid w:val="73685BF0"/>
    <w:rsid w:val="73A86934"/>
    <w:rsid w:val="742F670E"/>
    <w:rsid w:val="746E36DA"/>
    <w:rsid w:val="75575F1C"/>
    <w:rsid w:val="759A2AAE"/>
    <w:rsid w:val="75B50E95"/>
    <w:rsid w:val="76612DCA"/>
    <w:rsid w:val="7680773A"/>
    <w:rsid w:val="77081940"/>
    <w:rsid w:val="771A4918"/>
    <w:rsid w:val="77F6F8DF"/>
    <w:rsid w:val="77FA6710"/>
    <w:rsid w:val="78055283"/>
    <w:rsid w:val="78484242"/>
    <w:rsid w:val="78C46E4A"/>
    <w:rsid w:val="790C0E64"/>
    <w:rsid w:val="79F72FA5"/>
    <w:rsid w:val="7A906F54"/>
    <w:rsid w:val="7AD26045"/>
    <w:rsid w:val="7B031548"/>
    <w:rsid w:val="7B317C53"/>
    <w:rsid w:val="7B735A7A"/>
    <w:rsid w:val="7BFB23B8"/>
    <w:rsid w:val="7C293777"/>
    <w:rsid w:val="7CB92B16"/>
    <w:rsid w:val="7D8950E1"/>
    <w:rsid w:val="7DA261A2"/>
    <w:rsid w:val="7DBEB190"/>
    <w:rsid w:val="7DDEE62F"/>
    <w:rsid w:val="7E3F2705"/>
    <w:rsid w:val="7E6F871B"/>
    <w:rsid w:val="7EA86F00"/>
    <w:rsid w:val="7ECF04E9"/>
    <w:rsid w:val="7EFE7602"/>
    <w:rsid w:val="7F4F06CF"/>
    <w:rsid w:val="7F7E0178"/>
    <w:rsid w:val="7F7FA933"/>
    <w:rsid w:val="7FCE79DC"/>
    <w:rsid w:val="7FDFF6A0"/>
    <w:rsid w:val="7FF6F5A6"/>
    <w:rsid w:val="7FFCF7DD"/>
    <w:rsid w:val="BBE5D4EE"/>
    <w:rsid w:val="BF436B02"/>
    <w:rsid w:val="BF6B4699"/>
    <w:rsid w:val="CFBF4983"/>
    <w:rsid w:val="DEF80055"/>
    <w:rsid w:val="DEFFE55F"/>
    <w:rsid w:val="DFDB064D"/>
    <w:rsid w:val="ECBF24DE"/>
    <w:rsid w:val="EEBDB574"/>
    <w:rsid w:val="EFC78C23"/>
    <w:rsid w:val="EFDAB323"/>
    <w:rsid w:val="F0E62160"/>
    <w:rsid w:val="F5FFBBEE"/>
    <w:rsid w:val="F6EFA226"/>
    <w:rsid w:val="F76FD316"/>
    <w:rsid w:val="F7F57297"/>
    <w:rsid w:val="F7FB12DD"/>
    <w:rsid w:val="F7FDC3D5"/>
    <w:rsid w:val="F885ABD4"/>
    <w:rsid w:val="FAFFCD34"/>
    <w:rsid w:val="FBDD2CCE"/>
    <w:rsid w:val="FCD6D251"/>
    <w:rsid w:val="FDFBB845"/>
    <w:rsid w:val="FEBF93A6"/>
    <w:rsid w:val="FF3CD2B9"/>
    <w:rsid w:val="FFBF0573"/>
    <w:rsid w:val="FFBF56EA"/>
    <w:rsid w:val="FFEF29A0"/>
    <w:rsid w:val="FFF5ED6A"/>
    <w:rsid w:val="FFF82E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qFormat/>
    <w:uiPriority w:val="0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tabs>
        <w:tab w:val="left" w:pos="1260"/>
      </w:tabs>
      <w:ind w:firstLine="420" w:firstLineChars="200"/>
    </w:pPr>
  </w:style>
  <w:style w:type="paragraph" w:styleId="3">
    <w:name w:val="Body Text Indent"/>
    <w:basedOn w:val="1"/>
    <w:next w:val="1"/>
    <w:qFormat/>
    <w:uiPriority w:val="99"/>
    <w:pPr>
      <w:tabs>
        <w:tab w:val="left" w:pos="1260"/>
      </w:tabs>
      <w:spacing w:line="360" w:lineRule="auto"/>
      <w:ind w:left="420" w:firstLine="735"/>
    </w:pPr>
    <w:rPr>
      <w:kern w:val="0"/>
      <w:sz w:val="20"/>
    </w:rPr>
  </w:style>
  <w:style w:type="paragraph" w:styleId="6">
    <w:name w:val="annotation text"/>
    <w:basedOn w:val="1"/>
    <w:qFormat/>
    <w:uiPriority w:val="99"/>
    <w:pPr>
      <w:jc w:val="left"/>
    </w:pPr>
    <w:rPr>
      <w:szCs w:val="24"/>
    </w:rPr>
  </w:style>
  <w:style w:type="paragraph" w:styleId="7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5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Emphasis"/>
    <w:basedOn w:val="12"/>
    <w:qFormat/>
    <w:uiPriority w:val="0"/>
    <w:rPr>
      <w:rFonts w:ascii="Times New Roman" w:hAnsi="Times New Roman" w:eastAsia="宋体" w:cs="Times New Roman"/>
      <w:i/>
    </w:rPr>
  </w:style>
  <w:style w:type="character" w:customStyle="1" w:styleId="15">
    <w:name w:val="at_3"/>
    <w:basedOn w:val="12"/>
    <w:qFormat/>
    <w:uiPriority w:val="0"/>
    <w:rPr>
      <w:rFonts w:asciiTheme="minorHAnsi" w:hAnsiTheme="minorHAnsi" w:eastAsiaTheme="minorEastAsia" w:cstheme="minorBidi"/>
    </w:rPr>
  </w:style>
  <w:style w:type="character" w:customStyle="1" w:styleId="16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CharAttribute0"/>
    <w:qFormat/>
    <w:uiPriority w:val="0"/>
    <w:rPr>
      <w:rFonts w:ascii="Times New Roman" w:hAnsi="Times New Roman" w:eastAsia="宋体" w:cs="Times New Roman"/>
      <w:sz w:val="21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列出段落2"/>
    <w:basedOn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customStyle="1" w:styleId="21">
    <w:name w:val="font01"/>
    <w:basedOn w:val="12"/>
    <w:qFormat/>
    <w:uiPriority w:val="0"/>
    <w:rPr>
      <w:rFonts w:hint="default" w:ascii="Arial" w:hAnsi="Arial" w:eastAsia="宋体" w:cs="Arial"/>
      <w:color w:val="000000"/>
      <w:sz w:val="22"/>
      <w:szCs w:val="22"/>
      <w:u w:val="none"/>
    </w:rPr>
  </w:style>
  <w:style w:type="character" w:customStyle="1" w:styleId="22">
    <w:name w:val="页脚 Char"/>
    <w:basedOn w:val="12"/>
    <w:link w:val="7"/>
    <w:semiHidden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3">
    <w:name w:val="页眉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4">
    <w:name w:val="页脚 字符"/>
    <w:basedOn w:val="12"/>
    <w:link w:val="7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5">
    <w:name w:val="页眉 字符"/>
    <w:basedOn w:val="12"/>
    <w:link w:val="8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10586</Words>
  <Characters>11885</Characters>
  <Lines>187</Lines>
  <Paragraphs>176</Paragraphs>
  <TotalTime>16</TotalTime>
  <ScaleCrop>false</ScaleCrop>
  <LinksUpToDate>false</LinksUpToDate>
  <CharactersWithSpaces>11887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2026-03-18T16:00:00Z</dcterms:created>
  <dc:creator>孙艳</dc:creator>
  <cp:lastModifiedBy>pH</cp:lastModifiedBy>
  <dcterms:modified xsi:type="dcterms:W3CDTF">2026-10-11T18:52:40Z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7BD97A1258FE4F788DCD565B49C6906E_13</vt:lpwstr>
  </property>
  <property fmtid="{D5CDD505-2E9C-101B-9397-08002B2CF9AE}" pid="4" name="KSOTemplateDocerSaveRecord">
    <vt:lpwstr>eyJoZGlkIjoiNmI3NWU2ZDk4Nzg0OWJhZWNhYmJjMWE0ODcxOWYyOTkiLCJ1c2VySWQiOiIxMjE3NTg2MjUwIn0=</vt:lpwstr>
  </property>
</Properties>
</file>